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5B" w:rsidRDefault="009A105B" w:rsidP="009A105B">
      <w:pPr>
        <w:pStyle w:val="a3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lang w:val="en-US"/>
        </w:rPr>
      </w:pPr>
      <w:r>
        <w:rPr>
          <w:rFonts w:ascii="Times New Roman" w:eastAsia="Times New Roman" w:hAnsi="Times New Roman" w:cs="Times New Roman"/>
          <w:b/>
          <w:caps/>
          <w:sz w:val="26"/>
          <w:lang w:val="en-US"/>
        </w:rPr>
        <w:t>Descrierea desfășurată a modulelor de specialitate la programul de instruire</w:t>
      </w:r>
    </w:p>
    <w:p w:rsidR="00F0661D" w:rsidRPr="00F0661D" w:rsidRDefault="009A105B" w:rsidP="00F0661D">
      <w:pPr>
        <w:spacing w:before="240"/>
        <w:rPr>
          <w:rFonts w:ascii="Times New Roman" w:eastAsia="Times New Roman" w:hAnsi="Times New Roman" w:cs="Times New Roman"/>
          <w:b/>
          <w:caps/>
          <w:sz w:val="26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aps/>
          <w:sz w:val="26"/>
          <w:lang w:val="en-US"/>
        </w:rPr>
        <w:t xml:space="preserve">                                                                </w:t>
      </w:r>
      <w:r w:rsidR="00F0661D" w:rsidRPr="00F0661D">
        <w:rPr>
          <w:rFonts w:ascii="Times New Roman" w:eastAsia="Times New Roman" w:hAnsi="Times New Roman" w:cs="Times New Roman"/>
          <w:b/>
          <w:caps/>
          <w:sz w:val="26"/>
          <w:szCs w:val="24"/>
          <w:lang w:val="en-US"/>
        </w:rPr>
        <w:t>AnUL i</w:t>
      </w:r>
    </w:p>
    <w:p w:rsidR="00F0661D" w:rsidRPr="00F0661D" w:rsidRDefault="00F0661D" w:rsidP="00F0661D">
      <w:pPr>
        <w:spacing w:before="240" w:after="0" w:line="240" w:lineRule="auto"/>
        <w:rPr>
          <w:rFonts w:ascii="Times New Roman" w:eastAsia="Times New Roman" w:hAnsi="Times New Roman" w:cs="Times New Roman"/>
          <w:b/>
          <w:caps/>
          <w:sz w:val="26"/>
          <w:szCs w:val="24"/>
          <w:lang w:val="en-US"/>
        </w:rPr>
      </w:pPr>
      <w:r w:rsidRPr="00F0661D">
        <w:rPr>
          <w:rFonts w:ascii="Times New Roman" w:eastAsia="Times New Roman" w:hAnsi="Times New Roman" w:cs="Times New Roman"/>
          <w:b/>
          <w:caps/>
          <w:sz w:val="26"/>
          <w:szCs w:val="24"/>
          <w:lang w:val="en-US"/>
        </w:rPr>
        <w:t xml:space="preserve">                                                     parodontologie</w:t>
      </w:r>
    </w:p>
    <w:p w:rsidR="00F0661D" w:rsidRPr="00F0661D" w:rsidRDefault="00F0661D" w:rsidP="00F0661D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Obiectul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studiu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al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parodontologieii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Organizarea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secției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de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parodontologie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Istoricul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dezvoltării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parodontologiei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Organizarea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asistenței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parodontale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Etica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deontologia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probleme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juridice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parodontologie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Aspectul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interdisciplinar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al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Parodontologiei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ca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ramură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medico-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chirurgicală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stomatologiei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generale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Concepte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moderne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mecanizmul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pathogenic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debutul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evoluția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bolii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parodontale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0661D" w:rsidRPr="00F0661D" w:rsidRDefault="00F0661D" w:rsidP="00F0661D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Dezvoltarea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evoluția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embrionară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dinților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parodonțiului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marginal.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Aspecte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funcționale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evoluționale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cementului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radicular,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desmodonțiului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osului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alveolar.</w:t>
      </w:r>
    </w:p>
    <w:p w:rsidR="00F0661D" w:rsidRPr="00F0661D" w:rsidRDefault="00F0661D" w:rsidP="00F0661D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Biologia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structurală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parodonțiului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înveliș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Aspecte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morfo-funcționale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componentelor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structural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gingivale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macromorfologic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tip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gingie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sistemul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ligamentar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supraalveolar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micromorfologic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(histologic) -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epiteliul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corionul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Biologia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structurală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parodonțiului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susținere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Aspecte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morfo-funcționale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parodonțiului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profund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macro-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micromorfologic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cementului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radicular,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desmodonțiului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osului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alveolar.</w:t>
      </w:r>
    </w:p>
    <w:p w:rsidR="00F0661D" w:rsidRPr="00F0661D" w:rsidRDefault="00F0661D" w:rsidP="00F0661D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4.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Epidemiologia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bolii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parodontale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Managementul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parodontal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bolnavii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afecțiuni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generale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sistemice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diabetul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zaharat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fumatul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sarcina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Rolul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plăcii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bacteriene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apariția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evoluția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bolii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parodontale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Rolul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factorilor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locali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generali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apariția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evoluția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bolii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parodontale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0661D" w:rsidRPr="00F0661D" w:rsidRDefault="00F0661D" w:rsidP="00F0661D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0661D" w:rsidRPr="00F0661D" w:rsidRDefault="00F0661D" w:rsidP="00F0661D">
      <w:pPr>
        <w:spacing w:after="0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5.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Aspecte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moderne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clasificare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 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bolii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parodontale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(Amsterdam, 2018</w:t>
      </w:r>
      <w:proofErr w:type="gram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Sănătatea</w:t>
      </w:r>
      <w:proofErr w:type="spellEnd"/>
      <w:proofErr w:type="gram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parodontală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bolile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alte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condiții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gingivale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Particularitățile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formelor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clinice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gingivite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cronice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etiologie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microbiană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combinație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alți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factori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locali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sistemici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asociați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Gingivitele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induse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biofilm</w:t>
      </w:r>
    </w:p>
    <w:p w:rsidR="00F0661D" w:rsidRPr="00F0661D" w:rsidRDefault="00F0661D" w:rsidP="00F0661D">
      <w:pPr>
        <w:spacing w:after="0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0661D" w:rsidRPr="00F0661D" w:rsidRDefault="00F0661D" w:rsidP="00F0661D">
      <w:pPr>
        <w:spacing w:after="0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Principiile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bază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privind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etapizarea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examenului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clinic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obiectiv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al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parodonțiului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marginal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sănătos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condiții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îmbolnăvire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gingiva-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parodontală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Examenul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clinic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parodontal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relevarea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plăcii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bacteriene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inclusiv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vigilența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oncologică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Determinarea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statusului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dento-parodontal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indicilor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îmbolnăvire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gingivo-parodontală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Interpretarea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rezultatelor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examenelor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complementare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boala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parodontală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radiologice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microbiologice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imunologice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biochimice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viziunea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structurării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unui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plan complex de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tratament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Elaborarea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diagnosticului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planului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tratament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0661D" w:rsidRPr="00F0661D" w:rsidRDefault="00F0661D" w:rsidP="00F0661D">
      <w:pPr>
        <w:spacing w:after="0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0661D" w:rsidRPr="00F0661D" w:rsidRDefault="00F0661D" w:rsidP="00F0661D">
      <w:pPr>
        <w:spacing w:after="0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7.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Boli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condiții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parodontale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Parodontita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marginală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cronică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incipientă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reversibilă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Modificări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morfopatologice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parodontita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marginală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cronică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forma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ușoară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Parodontita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marginală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cronică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forma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medie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gravă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Modificări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morfopatologice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Noțiune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parodontită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refractară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Parodontita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stadiul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I-IV,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Stadializarea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gradarea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parodontitei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afecțiunile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parodontale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induse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placă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0661D" w:rsidRPr="00F0661D" w:rsidRDefault="00F0661D" w:rsidP="00F0661D">
      <w:pPr>
        <w:spacing w:after="0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Alte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condiții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afectează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parodonțiul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Boli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condiții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periimplantare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0661D" w:rsidRPr="00F0661D" w:rsidRDefault="00F0661D" w:rsidP="00F0661D">
      <w:pPr>
        <w:spacing w:after="0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0661D" w:rsidRPr="00F0661D" w:rsidRDefault="00F0661D" w:rsidP="00F0661D">
      <w:pPr>
        <w:spacing w:after="0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8.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Etape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tehnici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moderne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tratament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parodontal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complex.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Anestezia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însușirea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tehnicilor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curente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anestezie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parodontologie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Tehnici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moderne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înlăturare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depozitelor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moi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dure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supra-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subgingivale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detartrajul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ultrasunet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scaling-root-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planing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controlul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asupra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plăcii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bateriene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0661D" w:rsidRPr="00F0661D" w:rsidRDefault="00F0661D" w:rsidP="00F0661D">
      <w:pPr>
        <w:spacing w:after="0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0661D" w:rsidRPr="00F0661D" w:rsidRDefault="00F0661D" w:rsidP="00F0661D">
      <w:pPr>
        <w:numPr>
          <w:ilvl w:val="0"/>
          <w:numId w:val="2"/>
        </w:num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Eliminarea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factorilor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locali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risc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prin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tratamentul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leziunilor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odontale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iatrogenic,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extracția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dinților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</w:t>
      </w:r>
      <w:proofErr w:type="spellStart"/>
      <w:r w:rsidRPr="00F0661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ratamentul</w:t>
      </w:r>
      <w:proofErr w:type="spellEnd"/>
      <w:r w:rsidRPr="00F0661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cariilor</w:t>
      </w:r>
      <w:proofErr w:type="spellEnd"/>
      <w:r w:rsidRPr="00F0661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dentare</w:t>
      </w:r>
      <w:proofErr w:type="spellEnd"/>
      <w:r w:rsidRPr="00F0661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cu impact </w:t>
      </w:r>
      <w:proofErr w:type="spellStart"/>
      <w:r w:rsidRPr="00F0661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asupra</w:t>
      </w:r>
      <w:proofErr w:type="spellEnd"/>
      <w:r w:rsidRPr="00F0661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parodonțiului</w:t>
      </w:r>
      <w:proofErr w:type="spellEnd"/>
      <w:r w:rsidRPr="00F0661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marginal.</w:t>
      </w:r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Tehnica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tratament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hiperesteziei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dentinare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leziunilor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carioase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necarioase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radiculare</w:t>
      </w:r>
      <w:proofErr w:type="spellEnd"/>
      <w:r w:rsidRPr="00F066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0661D" w:rsidRPr="00F0661D" w:rsidRDefault="00F0661D" w:rsidP="00F0661D">
      <w:pPr>
        <w:spacing w:after="0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0661D" w:rsidRPr="00F0661D" w:rsidRDefault="00F0661D" w:rsidP="00F0661D">
      <w:pPr>
        <w:numPr>
          <w:ilvl w:val="0"/>
          <w:numId w:val="2"/>
        </w:num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Particularități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administrare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tratamentului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medicamentos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antimicrobian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antiinflamator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boala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>parodontală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F0661D">
        <w:rPr>
          <w:rFonts w:ascii="Times New Roman" w:eastAsia="Times New Roman" w:hAnsi="Times New Roman" w:cs="Times New Roman"/>
          <w:sz w:val="24"/>
          <w:szCs w:val="24"/>
          <w:lang w:val="ro-RO"/>
        </w:rPr>
        <w:t>Terapia de biostimulare/</w:t>
      </w:r>
      <w:proofErr w:type="spellStart"/>
      <w:r w:rsidRPr="00F0661D">
        <w:rPr>
          <w:rFonts w:ascii="Times New Roman" w:eastAsia="Times New Roman" w:hAnsi="Times New Roman" w:cs="Times New Roman"/>
          <w:sz w:val="24"/>
          <w:szCs w:val="24"/>
          <w:lang w:val="ro-RO"/>
        </w:rPr>
        <w:t>bioreactivare</w:t>
      </w:r>
      <w:proofErr w:type="spellEnd"/>
      <w:r w:rsidRPr="00F0661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parodontală</w:t>
      </w:r>
    </w:p>
    <w:p w:rsidR="00F0661D" w:rsidRPr="00F0661D" w:rsidRDefault="00F0661D" w:rsidP="00F0661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:rsidR="00F0661D" w:rsidRPr="00F0661D" w:rsidRDefault="00F0661D" w:rsidP="00F0661D">
      <w:pPr>
        <w:numPr>
          <w:ilvl w:val="0"/>
          <w:numId w:val="2"/>
        </w:num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661D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Metode și tehnici de imobilizare temporară a dinților </w:t>
      </w:r>
      <w:proofErr w:type="spellStart"/>
      <w:r w:rsidRPr="00F0661D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parodontopatici</w:t>
      </w:r>
      <w:proofErr w:type="spellEnd"/>
      <w:r w:rsidRPr="00F0661D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. </w:t>
      </w:r>
    </w:p>
    <w:p w:rsidR="00F83D29" w:rsidRPr="009A105B" w:rsidRDefault="00F83D29" w:rsidP="00F0661D">
      <w:pPr>
        <w:spacing w:before="240" w:after="0" w:line="240" w:lineRule="auto"/>
        <w:rPr>
          <w:lang w:val="en-US"/>
        </w:rPr>
      </w:pPr>
      <w:bookmarkStart w:id="0" w:name="_GoBack"/>
      <w:bookmarkEnd w:id="0"/>
    </w:p>
    <w:sectPr w:rsidR="00F83D29" w:rsidRPr="009A1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B75BB0F"/>
    <w:multiLevelType w:val="singleLevel"/>
    <w:tmpl w:val="EB75BB0F"/>
    <w:lvl w:ilvl="0">
      <w:start w:val="9"/>
      <w:numFmt w:val="decimal"/>
      <w:suff w:val="space"/>
      <w:lvlText w:val="%1."/>
      <w:lvlJc w:val="left"/>
    </w:lvl>
  </w:abstractNum>
  <w:abstractNum w:abstractNumId="1" w15:restartNumberingAfterBreak="0">
    <w:nsid w:val="2ABD5790"/>
    <w:multiLevelType w:val="hybridMultilevel"/>
    <w:tmpl w:val="C6A42FD6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D6"/>
    <w:rsid w:val="00262AD6"/>
    <w:rsid w:val="009A105B"/>
    <w:rsid w:val="00F0661D"/>
    <w:rsid w:val="00F8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5C472-8579-45F1-A7C7-E0024F71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05B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2022-03-11T08:21:00Z</dcterms:created>
  <dcterms:modified xsi:type="dcterms:W3CDTF">2022-03-24T06:56:00Z</dcterms:modified>
</cp:coreProperties>
</file>