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153" w:rsidRPr="00950153" w:rsidRDefault="00950153" w:rsidP="00950153">
      <w:pPr>
        <w:spacing w:line="256" w:lineRule="auto"/>
        <w:jc w:val="both"/>
        <w:rPr>
          <w:rFonts w:ascii="Times New Roman" w:eastAsia="Calibri" w:hAnsi="Times New Roman" w:cs="Times New Roman"/>
          <w:b/>
          <w:i/>
          <w:sz w:val="24"/>
          <w:szCs w:val="24"/>
        </w:rPr>
      </w:pPr>
      <w:r w:rsidRPr="00950153">
        <w:rPr>
          <w:rFonts w:ascii="Times New Roman" w:eastAsia="Calibri" w:hAnsi="Times New Roman" w:cs="Times New Roman"/>
          <w:b/>
          <w:i/>
          <w:sz w:val="24"/>
          <w:szCs w:val="24"/>
        </w:rPr>
        <w:t>Facultatea Stomatologie, Specialitatea Stomatologie</w:t>
      </w:r>
    </w:p>
    <w:tbl>
      <w:tblPr>
        <w:tblW w:w="10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225"/>
        <w:gridCol w:w="851"/>
        <w:gridCol w:w="3260"/>
        <w:gridCol w:w="2169"/>
      </w:tblGrid>
      <w:tr w:rsidR="00950153" w:rsidRPr="00950153" w:rsidTr="00950153">
        <w:trPr>
          <w:jc w:val="center"/>
        </w:trPr>
        <w:tc>
          <w:tcPr>
            <w:tcW w:w="2482" w:type="dxa"/>
            <w:tcBorders>
              <w:top w:val="single" w:sz="4" w:space="0" w:color="auto"/>
              <w:left w:val="single" w:sz="4" w:space="0" w:color="auto"/>
              <w:bottom w:val="single" w:sz="4" w:space="0" w:color="auto"/>
              <w:right w:val="single" w:sz="4" w:space="0" w:color="auto"/>
            </w:tcBorders>
            <w:shd w:val="clear" w:color="auto" w:fill="DEEAF6"/>
            <w:hideMark/>
          </w:tcPr>
          <w:p w:rsidR="00950153" w:rsidRPr="00950153" w:rsidRDefault="00950153" w:rsidP="00950153">
            <w:pPr>
              <w:spacing w:after="0" w:line="240" w:lineRule="auto"/>
              <w:rPr>
                <w:rFonts w:ascii="Times New Roman" w:eastAsia="Calibri" w:hAnsi="Times New Roman" w:cs="Times New Roman"/>
                <w:sz w:val="24"/>
                <w:szCs w:val="24"/>
              </w:rPr>
            </w:pPr>
            <w:r w:rsidRPr="00950153">
              <w:rPr>
                <w:rFonts w:ascii="Times New Roman" w:eastAsia="Calibri" w:hAnsi="Times New Roman" w:cs="Times New Roman"/>
                <w:sz w:val="24"/>
                <w:szCs w:val="24"/>
              </w:rPr>
              <w:t>Denumirea disciplinei</w:t>
            </w:r>
          </w:p>
        </w:tc>
        <w:tc>
          <w:tcPr>
            <w:tcW w:w="8505" w:type="dxa"/>
            <w:gridSpan w:val="4"/>
            <w:tcBorders>
              <w:top w:val="single" w:sz="4" w:space="0" w:color="auto"/>
              <w:left w:val="single" w:sz="4" w:space="0" w:color="auto"/>
              <w:bottom w:val="single" w:sz="4" w:space="0" w:color="auto"/>
              <w:right w:val="single" w:sz="4" w:space="0" w:color="auto"/>
            </w:tcBorders>
            <w:vAlign w:val="center"/>
            <w:hideMark/>
          </w:tcPr>
          <w:p w:rsidR="00950153" w:rsidRPr="00950153" w:rsidRDefault="00950153" w:rsidP="00950153">
            <w:pPr>
              <w:spacing w:after="0" w:line="240" w:lineRule="auto"/>
              <w:rPr>
                <w:rFonts w:ascii="Times New Roman" w:eastAsia="Calibri" w:hAnsi="Times New Roman" w:cs="Times New Roman"/>
                <w:sz w:val="23"/>
                <w:szCs w:val="23"/>
              </w:rPr>
            </w:pPr>
            <w:r w:rsidRPr="00950153">
              <w:rPr>
                <w:rFonts w:ascii="Times New Roman" w:eastAsia="Calibri" w:hAnsi="Times New Roman" w:cs="Times New Roman"/>
                <w:b/>
                <w:sz w:val="23"/>
                <w:szCs w:val="23"/>
              </w:rPr>
              <w:t xml:space="preserve"> Parodontologie clinică  </w:t>
            </w:r>
          </w:p>
        </w:tc>
      </w:tr>
      <w:tr w:rsidR="00950153" w:rsidRPr="00950153" w:rsidTr="00950153">
        <w:trPr>
          <w:jc w:val="center"/>
        </w:trPr>
        <w:tc>
          <w:tcPr>
            <w:tcW w:w="2482" w:type="dxa"/>
            <w:tcBorders>
              <w:top w:val="single" w:sz="4" w:space="0" w:color="auto"/>
              <w:left w:val="single" w:sz="4" w:space="0" w:color="auto"/>
              <w:bottom w:val="single" w:sz="4" w:space="0" w:color="auto"/>
              <w:right w:val="single" w:sz="4" w:space="0" w:color="auto"/>
            </w:tcBorders>
            <w:hideMark/>
          </w:tcPr>
          <w:p w:rsidR="00950153" w:rsidRPr="00950153" w:rsidRDefault="00950153" w:rsidP="00950153">
            <w:pPr>
              <w:spacing w:after="0" w:line="240" w:lineRule="auto"/>
              <w:rPr>
                <w:rFonts w:ascii="Times New Roman" w:eastAsia="Calibri" w:hAnsi="Times New Roman" w:cs="Times New Roman"/>
                <w:sz w:val="24"/>
                <w:szCs w:val="24"/>
              </w:rPr>
            </w:pPr>
            <w:r w:rsidRPr="00950153">
              <w:rPr>
                <w:rFonts w:ascii="Times New Roman" w:eastAsia="Calibri" w:hAnsi="Times New Roman" w:cs="Times New Roman"/>
                <w:sz w:val="24"/>
                <w:szCs w:val="24"/>
              </w:rPr>
              <w:t xml:space="preserve">Tipul </w:t>
            </w:r>
          </w:p>
        </w:tc>
        <w:tc>
          <w:tcPr>
            <w:tcW w:w="3076" w:type="dxa"/>
            <w:gridSpan w:val="2"/>
            <w:tcBorders>
              <w:top w:val="single" w:sz="4" w:space="0" w:color="auto"/>
              <w:left w:val="single" w:sz="4" w:space="0" w:color="auto"/>
              <w:bottom w:val="single" w:sz="4" w:space="0" w:color="auto"/>
              <w:right w:val="single" w:sz="4" w:space="0" w:color="auto"/>
            </w:tcBorders>
            <w:hideMark/>
          </w:tcPr>
          <w:p w:rsidR="00950153" w:rsidRPr="00950153" w:rsidRDefault="00950153" w:rsidP="00950153">
            <w:pPr>
              <w:spacing w:after="0" w:line="240" w:lineRule="auto"/>
              <w:rPr>
                <w:rFonts w:ascii="Times New Roman" w:eastAsia="Calibri" w:hAnsi="Times New Roman" w:cs="Times New Roman"/>
                <w:sz w:val="23"/>
                <w:szCs w:val="23"/>
              </w:rPr>
            </w:pPr>
            <w:r w:rsidRPr="00950153">
              <w:rPr>
                <w:rFonts w:ascii="Times New Roman" w:eastAsia="Calibri" w:hAnsi="Times New Roman" w:cs="Times New Roman"/>
                <w:sz w:val="23"/>
                <w:szCs w:val="23"/>
              </w:rPr>
              <w:t>Obligator</w:t>
            </w:r>
          </w:p>
        </w:tc>
        <w:tc>
          <w:tcPr>
            <w:tcW w:w="3260" w:type="dxa"/>
            <w:tcBorders>
              <w:top w:val="single" w:sz="4" w:space="0" w:color="auto"/>
              <w:left w:val="single" w:sz="4" w:space="0" w:color="auto"/>
              <w:bottom w:val="single" w:sz="4" w:space="0" w:color="auto"/>
              <w:right w:val="single" w:sz="4" w:space="0" w:color="auto"/>
            </w:tcBorders>
            <w:vAlign w:val="center"/>
            <w:hideMark/>
          </w:tcPr>
          <w:p w:rsidR="00950153" w:rsidRPr="00950153" w:rsidRDefault="00950153" w:rsidP="00950153">
            <w:pPr>
              <w:spacing w:after="0" w:line="240" w:lineRule="auto"/>
              <w:rPr>
                <w:rFonts w:ascii="Times New Roman" w:eastAsia="Calibri" w:hAnsi="Times New Roman" w:cs="Times New Roman"/>
                <w:sz w:val="24"/>
                <w:szCs w:val="24"/>
              </w:rPr>
            </w:pPr>
            <w:r w:rsidRPr="00950153">
              <w:rPr>
                <w:rFonts w:ascii="Times New Roman" w:eastAsia="Calibri" w:hAnsi="Times New Roman" w:cs="Times New Roman"/>
                <w:sz w:val="24"/>
                <w:szCs w:val="24"/>
              </w:rPr>
              <w:t>Credite</w:t>
            </w:r>
          </w:p>
        </w:tc>
        <w:tc>
          <w:tcPr>
            <w:tcW w:w="2169" w:type="dxa"/>
            <w:tcBorders>
              <w:top w:val="single" w:sz="4" w:space="0" w:color="auto"/>
              <w:left w:val="single" w:sz="4" w:space="0" w:color="auto"/>
              <w:bottom w:val="single" w:sz="4" w:space="0" w:color="auto"/>
              <w:right w:val="single" w:sz="4" w:space="0" w:color="auto"/>
            </w:tcBorders>
            <w:vAlign w:val="center"/>
            <w:hideMark/>
          </w:tcPr>
          <w:p w:rsidR="00950153" w:rsidRPr="00950153" w:rsidRDefault="00950153" w:rsidP="0095015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950153" w:rsidRPr="00950153" w:rsidTr="00950153">
        <w:trPr>
          <w:jc w:val="center"/>
        </w:trPr>
        <w:tc>
          <w:tcPr>
            <w:tcW w:w="2482" w:type="dxa"/>
            <w:tcBorders>
              <w:top w:val="single" w:sz="4" w:space="0" w:color="auto"/>
              <w:left w:val="single" w:sz="4" w:space="0" w:color="auto"/>
              <w:bottom w:val="single" w:sz="4" w:space="0" w:color="auto"/>
              <w:right w:val="single" w:sz="4" w:space="0" w:color="auto"/>
            </w:tcBorders>
            <w:hideMark/>
          </w:tcPr>
          <w:p w:rsidR="00950153" w:rsidRPr="00950153" w:rsidRDefault="00950153" w:rsidP="00950153">
            <w:pPr>
              <w:spacing w:after="0" w:line="240" w:lineRule="auto"/>
              <w:rPr>
                <w:rFonts w:ascii="Times New Roman" w:eastAsia="Calibri" w:hAnsi="Times New Roman" w:cs="Times New Roman"/>
                <w:sz w:val="24"/>
                <w:szCs w:val="24"/>
              </w:rPr>
            </w:pPr>
            <w:r w:rsidRPr="00950153">
              <w:rPr>
                <w:rFonts w:ascii="Times New Roman" w:eastAsia="Calibri" w:hAnsi="Times New Roman" w:cs="Times New Roman"/>
                <w:sz w:val="24"/>
                <w:szCs w:val="24"/>
              </w:rPr>
              <w:t>Anul de studii</w:t>
            </w:r>
          </w:p>
        </w:tc>
        <w:tc>
          <w:tcPr>
            <w:tcW w:w="3076" w:type="dxa"/>
            <w:gridSpan w:val="2"/>
            <w:tcBorders>
              <w:top w:val="single" w:sz="4" w:space="0" w:color="auto"/>
              <w:left w:val="single" w:sz="4" w:space="0" w:color="auto"/>
              <w:bottom w:val="single" w:sz="4" w:space="0" w:color="auto"/>
              <w:right w:val="single" w:sz="4" w:space="0" w:color="auto"/>
            </w:tcBorders>
            <w:vAlign w:val="center"/>
            <w:hideMark/>
          </w:tcPr>
          <w:p w:rsidR="00950153" w:rsidRPr="00950153" w:rsidRDefault="00950153" w:rsidP="00950153">
            <w:pPr>
              <w:spacing w:after="0" w:line="240" w:lineRule="auto"/>
              <w:jc w:val="center"/>
              <w:rPr>
                <w:rFonts w:ascii="Times New Roman" w:eastAsia="Calibri" w:hAnsi="Times New Roman" w:cs="Times New Roman"/>
                <w:sz w:val="24"/>
                <w:szCs w:val="24"/>
              </w:rPr>
            </w:pPr>
            <w:r w:rsidRPr="00950153">
              <w:rPr>
                <w:rFonts w:ascii="Times New Roman" w:eastAsia="Calibri" w:hAnsi="Times New Roman" w:cs="Times New Roman"/>
                <w:sz w:val="24"/>
                <w:szCs w:val="24"/>
              </w:rPr>
              <w:t>I</w:t>
            </w:r>
            <w:r>
              <w:rPr>
                <w:rFonts w:ascii="Times New Roman" w:eastAsia="Calibri" w:hAnsi="Times New Roman" w:cs="Times New Roman"/>
                <w:sz w:val="24"/>
                <w:szCs w:val="24"/>
              </w:rPr>
              <w:t>V</w:t>
            </w:r>
          </w:p>
        </w:tc>
        <w:tc>
          <w:tcPr>
            <w:tcW w:w="3260" w:type="dxa"/>
            <w:tcBorders>
              <w:top w:val="single" w:sz="4" w:space="0" w:color="auto"/>
              <w:left w:val="single" w:sz="4" w:space="0" w:color="auto"/>
              <w:bottom w:val="single" w:sz="4" w:space="0" w:color="auto"/>
              <w:right w:val="single" w:sz="4" w:space="0" w:color="auto"/>
            </w:tcBorders>
            <w:hideMark/>
          </w:tcPr>
          <w:p w:rsidR="00950153" w:rsidRPr="00950153" w:rsidRDefault="00950153" w:rsidP="00950153">
            <w:pPr>
              <w:spacing w:after="0" w:line="240" w:lineRule="auto"/>
              <w:rPr>
                <w:rFonts w:ascii="Times New Roman" w:eastAsia="Calibri" w:hAnsi="Times New Roman" w:cs="Times New Roman"/>
                <w:sz w:val="24"/>
                <w:szCs w:val="24"/>
              </w:rPr>
            </w:pPr>
            <w:r w:rsidRPr="00950153">
              <w:rPr>
                <w:rFonts w:ascii="Times New Roman" w:eastAsia="Calibri" w:hAnsi="Times New Roman" w:cs="Times New Roman"/>
                <w:sz w:val="24"/>
                <w:szCs w:val="24"/>
              </w:rPr>
              <w:t>Semestrul</w:t>
            </w:r>
          </w:p>
        </w:tc>
        <w:tc>
          <w:tcPr>
            <w:tcW w:w="2169" w:type="dxa"/>
            <w:tcBorders>
              <w:top w:val="single" w:sz="4" w:space="0" w:color="auto"/>
              <w:left w:val="single" w:sz="4" w:space="0" w:color="auto"/>
              <w:bottom w:val="single" w:sz="4" w:space="0" w:color="auto"/>
              <w:right w:val="single" w:sz="4" w:space="0" w:color="auto"/>
            </w:tcBorders>
            <w:vAlign w:val="center"/>
            <w:hideMark/>
          </w:tcPr>
          <w:p w:rsidR="00950153" w:rsidRPr="00950153" w:rsidRDefault="00950153" w:rsidP="00950153">
            <w:pPr>
              <w:spacing w:after="0" w:line="240" w:lineRule="auto"/>
              <w:jc w:val="center"/>
              <w:rPr>
                <w:rFonts w:ascii="Times New Roman" w:eastAsia="Calibri" w:hAnsi="Times New Roman" w:cs="Times New Roman"/>
                <w:sz w:val="24"/>
                <w:szCs w:val="24"/>
              </w:rPr>
            </w:pPr>
            <w:r w:rsidRPr="00950153">
              <w:rPr>
                <w:rFonts w:ascii="Times New Roman" w:eastAsia="Calibri" w:hAnsi="Times New Roman" w:cs="Times New Roman"/>
                <w:sz w:val="24"/>
                <w:szCs w:val="24"/>
              </w:rPr>
              <w:t>V</w:t>
            </w:r>
            <w:r>
              <w:rPr>
                <w:rFonts w:ascii="Times New Roman" w:eastAsia="Calibri" w:hAnsi="Times New Roman" w:cs="Times New Roman"/>
                <w:sz w:val="24"/>
                <w:szCs w:val="24"/>
              </w:rPr>
              <w:t>III</w:t>
            </w:r>
          </w:p>
        </w:tc>
      </w:tr>
      <w:tr w:rsidR="00950153" w:rsidRPr="00950153" w:rsidTr="00950153">
        <w:trPr>
          <w:jc w:val="center"/>
        </w:trPr>
        <w:tc>
          <w:tcPr>
            <w:tcW w:w="2482" w:type="dxa"/>
            <w:vMerge w:val="restart"/>
            <w:tcBorders>
              <w:top w:val="single" w:sz="4" w:space="0" w:color="auto"/>
              <w:left w:val="single" w:sz="4" w:space="0" w:color="auto"/>
              <w:bottom w:val="single" w:sz="4" w:space="0" w:color="auto"/>
              <w:right w:val="single" w:sz="4" w:space="0" w:color="auto"/>
            </w:tcBorders>
            <w:hideMark/>
          </w:tcPr>
          <w:p w:rsidR="00950153" w:rsidRPr="00950153" w:rsidRDefault="00950153" w:rsidP="00950153">
            <w:pPr>
              <w:spacing w:after="0" w:line="240" w:lineRule="auto"/>
              <w:rPr>
                <w:rFonts w:ascii="Times New Roman" w:eastAsia="Calibri" w:hAnsi="Times New Roman" w:cs="Times New Roman"/>
                <w:sz w:val="24"/>
                <w:szCs w:val="24"/>
              </w:rPr>
            </w:pPr>
            <w:r w:rsidRPr="00950153">
              <w:rPr>
                <w:rFonts w:ascii="Times New Roman" w:eastAsia="Calibri" w:hAnsi="Times New Roman" w:cs="Times New Roman"/>
                <w:sz w:val="24"/>
                <w:szCs w:val="24"/>
              </w:rPr>
              <w:t>Numărul de ore</w:t>
            </w:r>
          </w:p>
        </w:tc>
        <w:tc>
          <w:tcPr>
            <w:tcW w:w="2225" w:type="dxa"/>
            <w:tcBorders>
              <w:top w:val="single" w:sz="4" w:space="0" w:color="auto"/>
              <w:left w:val="single" w:sz="4" w:space="0" w:color="auto"/>
              <w:bottom w:val="single" w:sz="4" w:space="0" w:color="auto"/>
              <w:right w:val="single" w:sz="4" w:space="0" w:color="auto"/>
            </w:tcBorders>
            <w:hideMark/>
          </w:tcPr>
          <w:p w:rsidR="00950153" w:rsidRPr="00950153" w:rsidRDefault="00950153" w:rsidP="00950153">
            <w:pPr>
              <w:spacing w:after="0" w:line="240" w:lineRule="auto"/>
              <w:rPr>
                <w:rFonts w:ascii="Times New Roman" w:eastAsia="Calibri" w:hAnsi="Times New Roman" w:cs="Times New Roman"/>
                <w:sz w:val="24"/>
                <w:szCs w:val="24"/>
                <w:lang w:val="fr-FR"/>
              </w:rPr>
            </w:pPr>
            <w:r w:rsidRPr="00950153">
              <w:rPr>
                <w:rFonts w:ascii="Times New Roman" w:eastAsia="Calibri" w:hAnsi="Times New Roman" w:cs="Times New Roman"/>
                <w:sz w:val="24"/>
                <w:szCs w:val="24"/>
                <w:lang w:val="fr-FR"/>
              </w:rPr>
              <w:t xml:space="preserve">Curs </w:t>
            </w:r>
          </w:p>
        </w:tc>
        <w:tc>
          <w:tcPr>
            <w:tcW w:w="851" w:type="dxa"/>
            <w:tcBorders>
              <w:top w:val="single" w:sz="4" w:space="0" w:color="auto"/>
              <w:left w:val="single" w:sz="4" w:space="0" w:color="auto"/>
              <w:bottom w:val="single" w:sz="4" w:space="0" w:color="auto"/>
              <w:right w:val="single" w:sz="4" w:space="0" w:color="auto"/>
            </w:tcBorders>
            <w:vAlign w:val="center"/>
            <w:hideMark/>
          </w:tcPr>
          <w:p w:rsidR="00950153" w:rsidRPr="00950153" w:rsidRDefault="00950153" w:rsidP="00950153">
            <w:pPr>
              <w:spacing w:after="0" w:line="240" w:lineRule="auto"/>
              <w:jc w:val="center"/>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40</w:t>
            </w:r>
          </w:p>
        </w:tc>
        <w:tc>
          <w:tcPr>
            <w:tcW w:w="3260" w:type="dxa"/>
            <w:tcBorders>
              <w:top w:val="single" w:sz="4" w:space="0" w:color="auto"/>
              <w:left w:val="single" w:sz="4" w:space="0" w:color="auto"/>
              <w:bottom w:val="single" w:sz="4" w:space="0" w:color="auto"/>
              <w:right w:val="single" w:sz="4" w:space="0" w:color="auto"/>
            </w:tcBorders>
            <w:hideMark/>
          </w:tcPr>
          <w:p w:rsidR="00950153" w:rsidRPr="00950153" w:rsidRDefault="00950153" w:rsidP="00950153">
            <w:pPr>
              <w:spacing w:after="0" w:line="240" w:lineRule="auto"/>
              <w:rPr>
                <w:rFonts w:ascii="Times New Roman" w:eastAsia="Calibri" w:hAnsi="Times New Roman" w:cs="Times New Roman"/>
                <w:sz w:val="24"/>
                <w:szCs w:val="24"/>
                <w:lang w:val="fr-FR"/>
              </w:rPr>
            </w:pPr>
            <w:r w:rsidRPr="00950153">
              <w:rPr>
                <w:rFonts w:ascii="Times New Roman" w:eastAsia="Calibri" w:hAnsi="Times New Roman" w:cs="Times New Roman"/>
                <w:sz w:val="24"/>
                <w:szCs w:val="24"/>
                <w:lang w:val="fr-FR"/>
              </w:rPr>
              <w:t>Lucrări practice/de laborator</w:t>
            </w:r>
          </w:p>
        </w:tc>
        <w:tc>
          <w:tcPr>
            <w:tcW w:w="2169" w:type="dxa"/>
            <w:tcBorders>
              <w:top w:val="single" w:sz="4" w:space="0" w:color="auto"/>
              <w:left w:val="single" w:sz="4" w:space="0" w:color="auto"/>
              <w:bottom w:val="single" w:sz="4" w:space="0" w:color="auto"/>
              <w:right w:val="single" w:sz="4" w:space="0" w:color="auto"/>
            </w:tcBorders>
            <w:vAlign w:val="center"/>
            <w:hideMark/>
          </w:tcPr>
          <w:p w:rsidR="00950153" w:rsidRPr="00950153" w:rsidRDefault="00950153" w:rsidP="00950153">
            <w:pPr>
              <w:spacing w:after="0" w:line="240" w:lineRule="auto"/>
              <w:jc w:val="center"/>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40</w:t>
            </w:r>
          </w:p>
        </w:tc>
      </w:tr>
      <w:tr w:rsidR="00950153" w:rsidRPr="00950153" w:rsidTr="0095015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153" w:rsidRPr="00950153" w:rsidRDefault="00950153" w:rsidP="00950153">
            <w:pPr>
              <w:spacing w:after="0" w:line="240" w:lineRule="auto"/>
              <w:rPr>
                <w:rFonts w:ascii="Times New Roman" w:eastAsia="Calibri" w:hAnsi="Times New Roman" w:cs="Times New Roman"/>
                <w:sz w:val="24"/>
                <w:szCs w:val="24"/>
              </w:rPr>
            </w:pPr>
          </w:p>
        </w:tc>
        <w:tc>
          <w:tcPr>
            <w:tcW w:w="2225" w:type="dxa"/>
            <w:tcBorders>
              <w:top w:val="single" w:sz="4" w:space="0" w:color="auto"/>
              <w:left w:val="single" w:sz="4" w:space="0" w:color="auto"/>
              <w:bottom w:val="single" w:sz="4" w:space="0" w:color="auto"/>
              <w:right w:val="single" w:sz="4" w:space="0" w:color="auto"/>
            </w:tcBorders>
            <w:hideMark/>
          </w:tcPr>
          <w:p w:rsidR="00950153" w:rsidRPr="00950153" w:rsidRDefault="00950153" w:rsidP="00950153">
            <w:pPr>
              <w:spacing w:after="0" w:line="240" w:lineRule="auto"/>
              <w:rPr>
                <w:rFonts w:ascii="Times New Roman" w:eastAsia="Calibri" w:hAnsi="Times New Roman" w:cs="Times New Roman"/>
                <w:sz w:val="24"/>
                <w:szCs w:val="24"/>
                <w:lang w:val="fr-FR"/>
              </w:rPr>
            </w:pPr>
            <w:r w:rsidRPr="00950153">
              <w:rPr>
                <w:rFonts w:ascii="Times New Roman" w:eastAsia="Calibri" w:hAnsi="Times New Roman" w:cs="Times New Roman"/>
                <w:sz w:val="24"/>
                <w:szCs w:val="24"/>
                <w:lang w:val="fr-FR"/>
              </w:rPr>
              <w:t>Seminare</w:t>
            </w:r>
          </w:p>
        </w:tc>
        <w:tc>
          <w:tcPr>
            <w:tcW w:w="851" w:type="dxa"/>
            <w:tcBorders>
              <w:top w:val="single" w:sz="4" w:space="0" w:color="auto"/>
              <w:left w:val="single" w:sz="4" w:space="0" w:color="auto"/>
              <w:bottom w:val="single" w:sz="4" w:space="0" w:color="auto"/>
              <w:right w:val="single" w:sz="4" w:space="0" w:color="auto"/>
            </w:tcBorders>
            <w:vAlign w:val="center"/>
            <w:hideMark/>
          </w:tcPr>
          <w:p w:rsidR="00950153" w:rsidRPr="00950153" w:rsidRDefault="00950153" w:rsidP="00950153">
            <w:pPr>
              <w:spacing w:after="0" w:line="240" w:lineRule="auto"/>
              <w:jc w:val="center"/>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40</w:t>
            </w:r>
          </w:p>
        </w:tc>
        <w:tc>
          <w:tcPr>
            <w:tcW w:w="3260" w:type="dxa"/>
            <w:tcBorders>
              <w:top w:val="single" w:sz="4" w:space="0" w:color="auto"/>
              <w:left w:val="single" w:sz="4" w:space="0" w:color="auto"/>
              <w:bottom w:val="single" w:sz="4" w:space="0" w:color="auto"/>
              <w:right w:val="single" w:sz="4" w:space="0" w:color="auto"/>
            </w:tcBorders>
            <w:hideMark/>
          </w:tcPr>
          <w:p w:rsidR="00950153" w:rsidRPr="00950153" w:rsidRDefault="00950153" w:rsidP="00950153">
            <w:pPr>
              <w:spacing w:after="0" w:line="240" w:lineRule="auto"/>
              <w:rPr>
                <w:rFonts w:ascii="Times New Roman" w:eastAsia="Calibri" w:hAnsi="Times New Roman" w:cs="Times New Roman"/>
                <w:sz w:val="24"/>
                <w:szCs w:val="24"/>
                <w:lang w:val="fr-FR"/>
              </w:rPr>
            </w:pPr>
            <w:r w:rsidRPr="00950153">
              <w:rPr>
                <w:rFonts w:ascii="Times New Roman" w:eastAsia="Calibri" w:hAnsi="Times New Roman" w:cs="Times New Roman"/>
                <w:sz w:val="24"/>
                <w:szCs w:val="24"/>
                <w:lang w:val="fr-FR"/>
              </w:rPr>
              <w:t>Lucrul individual</w:t>
            </w:r>
          </w:p>
        </w:tc>
        <w:tc>
          <w:tcPr>
            <w:tcW w:w="2169" w:type="dxa"/>
            <w:tcBorders>
              <w:top w:val="single" w:sz="4" w:space="0" w:color="auto"/>
              <w:left w:val="single" w:sz="4" w:space="0" w:color="auto"/>
              <w:bottom w:val="single" w:sz="4" w:space="0" w:color="auto"/>
              <w:right w:val="single" w:sz="4" w:space="0" w:color="auto"/>
            </w:tcBorders>
            <w:vAlign w:val="center"/>
            <w:hideMark/>
          </w:tcPr>
          <w:p w:rsidR="00950153" w:rsidRPr="00950153" w:rsidRDefault="00950153" w:rsidP="00950153">
            <w:pPr>
              <w:spacing w:after="0" w:line="240" w:lineRule="auto"/>
              <w:jc w:val="center"/>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30</w:t>
            </w:r>
          </w:p>
        </w:tc>
      </w:tr>
      <w:tr w:rsidR="00950153" w:rsidRPr="00950153" w:rsidTr="00950153">
        <w:trPr>
          <w:jc w:val="center"/>
        </w:trPr>
        <w:tc>
          <w:tcPr>
            <w:tcW w:w="2482" w:type="dxa"/>
            <w:tcBorders>
              <w:top w:val="single" w:sz="4" w:space="0" w:color="auto"/>
              <w:left w:val="single" w:sz="4" w:space="0" w:color="auto"/>
              <w:bottom w:val="single" w:sz="4" w:space="0" w:color="auto"/>
              <w:right w:val="single" w:sz="4" w:space="0" w:color="auto"/>
            </w:tcBorders>
            <w:hideMark/>
          </w:tcPr>
          <w:p w:rsidR="00950153" w:rsidRPr="00950153" w:rsidRDefault="00950153" w:rsidP="00950153">
            <w:pPr>
              <w:spacing w:after="0" w:line="240" w:lineRule="auto"/>
              <w:rPr>
                <w:rFonts w:ascii="Times New Roman" w:eastAsia="Calibri" w:hAnsi="Times New Roman" w:cs="Times New Roman"/>
                <w:sz w:val="24"/>
                <w:szCs w:val="24"/>
              </w:rPr>
            </w:pPr>
            <w:r w:rsidRPr="00950153">
              <w:rPr>
                <w:rFonts w:ascii="Times New Roman" w:eastAsia="Calibri" w:hAnsi="Times New Roman" w:cs="Times New Roman"/>
                <w:sz w:val="24"/>
                <w:szCs w:val="24"/>
              </w:rPr>
              <w:t>Forma de evaluare</w:t>
            </w:r>
          </w:p>
        </w:tc>
        <w:tc>
          <w:tcPr>
            <w:tcW w:w="8505" w:type="dxa"/>
            <w:gridSpan w:val="4"/>
            <w:tcBorders>
              <w:top w:val="single" w:sz="4" w:space="0" w:color="auto"/>
              <w:left w:val="single" w:sz="4" w:space="0" w:color="auto"/>
              <w:bottom w:val="single" w:sz="4" w:space="0" w:color="auto"/>
              <w:right w:val="single" w:sz="4" w:space="0" w:color="auto"/>
            </w:tcBorders>
            <w:vAlign w:val="center"/>
            <w:hideMark/>
          </w:tcPr>
          <w:p w:rsidR="00950153" w:rsidRPr="00950153" w:rsidRDefault="00950153" w:rsidP="00950153">
            <w:pPr>
              <w:spacing w:after="0" w:line="240" w:lineRule="auto"/>
              <w:rPr>
                <w:rFonts w:ascii="Times New Roman" w:eastAsia="Calibri" w:hAnsi="Times New Roman" w:cs="Times New Roman"/>
                <w:sz w:val="24"/>
                <w:szCs w:val="24"/>
              </w:rPr>
            </w:pPr>
            <w:r w:rsidRPr="00950153">
              <w:rPr>
                <w:rFonts w:ascii="Times New Roman" w:eastAsia="Calibri" w:hAnsi="Times New Roman" w:cs="Times New Roman"/>
                <w:iCs/>
                <w:sz w:val="24"/>
                <w:szCs w:val="24"/>
                <w:lang w:val="ro-RO"/>
              </w:rPr>
              <w:t>Prin examen</w:t>
            </w:r>
          </w:p>
        </w:tc>
      </w:tr>
      <w:tr w:rsidR="00950153" w:rsidRPr="00950153" w:rsidTr="00950153">
        <w:trPr>
          <w:jc w:val="center"/>
        </w:trPr>
        <w:tc>
          <w:tcPr>
            <w:tcW w:w="2482" w:type="dxa"/>
            <w:tcBorders>
              <w:top w:val="single" w:sz="4" w:space="0" w:color="auto"/>
              <w:left w:val="single" w:sz="4" w:space="0" w:color="auto"/>
              <w:bottom w:val="single" w:sz="4" w:space="0" w:color="auto"/>
              <w:right w:val="single" w:sz="4" w:space="0" w:color="auto"/>
            </w:tcBorders>
            <w:hideMark/>
          </w:tcPr>
          <w:p w:rsidR="00950153" w:rsidRPr="00950153" w:rsidRDefault="00950153" w:rsidP="00950153">
            <w:pPr>
              <w:spacing w:after="0" w:line="240" w:lineRule="auto"/>
              <w:rPr>
                <w:rFonts w:ascii="Times New Roman" w:eastAsia="Calibri" w:hAnsi="Times New Roman" w:cs="Times New Roman"/>
                <w:sz w:val="24"/>
                <w:szCs w:val="24"/>
              </w:rPr>
            </w:pPr>
            <w:r w:rsidRPr="00950153">
              <w:rPr>
                <w:rFonts w:ascii="Times New Roman" w:eastAsia="Calibri" w:hAnsi="Times New Roman" w:cs="Times New Roman"/>
                <w:sz w:val="24"/>
                <w:szCs w:val="24"/>
                <w:lang w:val="ro-RO"/>
              </w:rPr>
              <w:t>Titularul de curs</w:t>
            </w:r>
          </w:p>
        </w:tc>
        <w:tc>
          <w:tcPr>
            <w:tcW w:w="8505" w:type="dxa"/>
            <w:gridSpan w:val="4"/>
            <w:tcBorders>
              <w:top w:val="single" w:sz="4" w:space="0" w:color="auto"/>
              <w:left w:val="single" w:sz="4" w:space="0" w:color="auto"/>
              <w:bottom w:val="single" w:sz="4" w:space="0" w:color="auto"/>
              <w:right w:val="single" w:sz="4" w:space="0" w:color="auto"/>
            </w:tcBorders>
            <w:hideMark/>
          </w:tcPr>
          <w:p w:rsidR="00950153" w:rsidRDefault="00950153" w:rsidP="00950153">
            <w:pPr>
              <w:spacing w:after="0" w:line="240" w:lineRule="auto"/>
              <w:rPr>
                <w:rFonts w:ascii="Times New Roman" w:eastAsia="Calibri" w:hAnsi="Times New Roman" w:cs="Times New Roman"/>
                <w:b/>
                <w:sz w:val="23"/>
                <w:szCs w:val="23"/>
                <w:lang w:eastAsia="ru-RU"/>
              </w:rPr>
            </w:pPr>
            <w:r w:rsidRPr="00950153">
              <w:rPr>
                <w:rFonts w:ascii="Times New Roman" w:eastAsia="Calibri" w:hAnsi="Times New Roman" w:cs="Times New Roman"/>
                <w:b/>
                <w:sz w:val="23"/>
                <w:szCs w:val="23"/>
                <w:lang w:eastAsia="ru-RU"/>
              </w:rPr>
              <w:t>dr. hab.șt. med., prof. univ. Sergiu Ciobanu</w:t>
            </w:r>
            <w:bookmarkStart w:id="0" w:name="_GoBack"/>
            <w:bookmarkEnd w:id="0"/>
          </w:p>
          <w:p w:rsidR="007F2965" w:rsidRPr="00950153" w:rsidRDefault="007F2965" w:rsidP="00950153">
            <w:pPr>
              <w:spacing w:after="0" w:line="240" w:lineRule="auto"/>
              <w:rPr>
                <w:rFonts w:ascii="Times New Roman" w:eastAsia="Calibri" w:hAnsi="Times New Roman" w:cs="Times New Roman"/>
                <w:sz w:val="23"/>
                <w:szCs w:val="23"/>
              </w:rPr>
            </w:pPr>
            <w:r w:rsidRPr="007F2965">
              <w:rPr>
                <w:rFonts w:ascii="Times New Roman" w:eastAsia="Times New Roman" w:hAnsi="Times New Roman"/>
                <w:b/>
                <w:bCs/>
                <w:sz w:val="24"/>
                <w:szCs w:val="24"/>
                <w:lang w:val="ro-RO" w:eastAsia="ru-RU"/>
              </w:rPr>
              <w:t xml:space="preserve">dr.șt.med., conf.univ., </w:t>
            </w:r>
            <w:r>
              <w:rPr>
                <w:rFonts w:ascii="Times New Roman" w:eastAsia="Times New Roman" w:hAnsi="Times New Roman"/>
                <w:b/>
                <w:bCs/>
                <w:sz w:val="24"/>
                <w:szCs w:val="24"/>
                <w:lang w:val="ro-RO" w:eastAsia="ru-RU"/>
              </w:rPr>
              <w:t>Chetruș Viorica</w:t>
            </w:r>
          </w:p>
        </w:tc>
      </w:tr>
      <w:tr w:rsidR="00950153" w:rsidRPr="00950153" w:rsidTr="00950153">
        <w:trPr>
          <w:jc w:val="center"/>
        </w:trPr>
        <w:tc>
          <w:tcPr>
            <w:tcW w:w="2482" w:type="dxa"/>
            <w:tcBorders>
              <w:top w:val="single" w:sz="4" w:space="0" w:color="auto"/>
              <w:left w:val="single" w:sz="4" w:space="0" w:color="auto"/>
              <w:bottom w:val="single" w:sz="4" w:space="0" w:color="auto"/>
              <w:right w:val="single" w:sz="4" w:space="0" w:color="auto"/>
            </w:tcBorders>
            <w:hideMark/>
          </w:tcPr>
          <w:p w:rsidR="00950153" w:rsidRPr="00950153" w:rsidRDefault="00950153" w:rsidP="00950153">
            <w:pPr>
              <w:spacing w:after="0" w:line="240" w:lineRule="auto"/>
              <w:rPr>
                <w:rFonts w:ascii="Times New Roman" w:eastAsia="Calibri" w:hAnsi="Times New Roman" w:cs="Times New Roman"/>
                <w:sz w:val="24"/>
                <w:szCs w:val="24"/>
                <w:lang w:val="ro-RO"/>
              </w:rPr>
            </w:pPr>
            <w:r w:rsidRPr="00950153">
              <w:rPr>
                <w:rFonts w:ascii="Times New Roman" w:eastAsia="Calibri" w:hAnsi="Times New Roman" w:cs="Times New Roman"/>
                <w:sz w:val="24"/>
                <w:szCs w:val="24"/>
                <w:lang w:val="ro-RO"/>
              </w:rPr>
              <w:t xml:space="preserve">Locația </w:t>
            </w:r>
          </w:p>
        </w:tc>
        <w:tc>
          <w:tcPr>
            <w:tcW w:w="8505" w:type="dxa"/>
            <w:gridSpan w:val="4"/>
            <w:tcBorders>
              <w:top w:val="single" w:sz="4" w:space="0" w:color="auto"/>
              <w:left w:val="single" w:sz="4" w:space="0" w:color="auto"/>
              <w:bottom w:val="single" w:sz="4" w:space="0" w:color="auto"/>
              <w:right w:val="single" w:sz="4" w:space="0" w:color="auto"/>
            </w:tcBorders>
            <w:hideMark/>
          </w:tcPr>
          <w:p w:rsidR="00950153" w:rsidRPr="00950153" w:rsidRDefault="00950153" w:rsidP="00950153">
            <w:pPr>
              <w:spacing w:after="0" w:line="240" w:lineRule="auto"/>
              <w:jc w:val="both"/>
              <w:rPr>
                <w:rFonts w:ascii="Times New Roman" w:eastAsia="Calibri" w:hAnsi="Times New Roman" w:cs="Times New Roman"/>
                <w:sz w:val="23"/>
                <w:szCs w:val="23"/>
                <w:lang w:val="ro-RO"/>
              </w:rPr>
            </w:pPr>
            <w:r w:rsidRPr="00950153">
              <w:rPr>
                <w:rFonts w:ascii="Times New Roman" w:eastAsia="Calibri" w:hAnsi="Times New Roman" w:cs="Times New Roman"/>
                <w:sz w:val="23"/>
                <w:szCs w:val="23"/>
                <w:lang w:val="ro-RO"/>
              </w:rPr>
              <w:t>mun. Chişinău, bd. Ştefan cel Mare şi Sfânt, 165, MD-2004, Republica Moldova</w:t>
            </w:r>
          </w:p>
          <w:p w:rsidR="00950153" w:rsidRPr="00950153" w:rsidRDefault="00950153" w:rsidP="00950153">
            <w:pPr>
              <w:spacing w:after="0" w:line="240" w:lineRule="auto"/>
              <w:jc w:val="both"/>
              <w:rPr>
                <w:rFonts w:ascii="Times New Roman" w:eastAsia="Calibri" w:hAnsi="Times New Roman" w:cs="Times New Roman"/>
                <w:sz w:val="23"/>
                <w:szCs w:val="23"/>
              </w:rPr>
            </w:pPr>
            <w:r w:rsidRPr="00950153">
              <w:rPr>
                <w:rFonts w:ascii="Times New Roman" w:eastAsia="Calibri" w:hAnsi="Times New Roman" w:cs="Times New Roman"/>
                <w:sz w:val="23"/>
                <w:szCs w:val="23"/>
                <w:lang w:val="ro-RO"/>
              </w:rPr>
              <w:t>Blocul Central al USMF „Nicolae Testemiţanu”, etajul III, Sala Senatului.</w:t>
            </w:r>
          </w:p>
        </w:tc>
      </w:tr>
      <w:tr w:rsidR="00950153" w:rsidRPr="00950153" w:rsidTr="00950153">
        <w:trPr>
          <w:trHeight w:val="1506"/>
          <w:jc w:val="center"/>
        </w:trPr>
        <w:tc>
          <w:tcPr>
            <w:tcW w:w="2482" w:type="dxa"/>
            <w:vMerge w:val="restart"/>
            <w:tcBorders>
              <w:top w:val="single" w:sz="4" w:space="0" w:color="auto"/>
              <w:left w:val="single" w:sz="4" w:space="0" w:color="auto"/>
              <w:bottom w:val="single" w:sz="4" w:space="0" w:color="auto"/>
              <w:right w:val="single" w:sz="4" w:space="0" w:color="auto"/>
            </w:tcBorders>
            <w:hideMark/>
          </w:tcPr>
          <w:p w:rsidR="00950153" w:rsidRPr="00950153" w:rsidRDefault="00950153" w:rsidP="00950153">
            <w:pPr>
              <w:spacing w:after="0" w:line="240" w:lineRule="auto"/>
              <w:rPr>
                <w:rFonts w:ascii="Times New Roman" w:eastAsia="Calibri" w:hAnsi="Times New Roman" w:cs="Times New Roman"/>
                <w:sz w:val="24"/>
                <w:szCs w:val="24"/>
                <w:lang w:val="ro-RO"/>
              </w:rPr>
            </w:pPr>
            <w:r w:rsidRPr="00950153">
              <w:rPr>
                <w:rFonts w:ascii="Times New Roman" w:eastAsia="Calibri" w:hAnsi="Times New Roman" w:cs="Times New Roman"/>
                <w:sz w:val="24"/>
                <w:szCs w:val="24"/>
                <w:lang w:val="ro-RO"/>
              </w:rPr>
              <w:t>Condiționări și exigențe prealabile de:</w:t>
            </w:r>
          </w:p>
        </w:tc>
        <w:tc>
          <w:tcPr>
            <w:tcW w:w="8505" w:type="dxa"/>
            <w:gridSpan w:val="4"/>
            <w:tcBorders>
              <w:top w:val="single" w:sz="4" w:space="0" w:color="auto"/>
              <w:left w:val="single" w:sz="4" w:space="0" w:color="auto"/>
              <w:bottom w:val="single" w:sz="4" w:space="0" w:color="auto"/>
              <w:right w:val="single" w:sz="4" w:space="0" w:color="auto"/>
            </w:tcBorders>
            <w:hideMark/>
          </w:tcPr>
          <w:p w:rsidR="00950153" w:rsidRPr="00950153" w:rsidRDefault="00950153" w:rsidP="00950153">
            <w:pPr>
              <w:tabs>
                <w:tab w:val="left" w:pos="318"/>
              </w:tabs>
              <w:spacing w:line="256" w:lineRule="auto"/>
              <w:ind w:left="34"/>
              <w:contextualSpacing/>
              <w:rPr>
                <w:rFonts w:ascii="Times New Roman" w:eastAsia="Calibri" w:hAnsi="Times New Roman" w:cs="Times New Roman"/>
                <w:sz w:val="23"/>
                <w:szCs w:val="23"/>
                <w:lang w:val="ro-RO"/>
              </w:rPr>
            </w:pPr>
            <w:r w:rsidRPr="00950153">
              <w:rPr>
                <w:rFonts w:ascii="Times New Roman" w:eastAsia="Calibri" w:hAnsi="Times New Roman" w:cs="Times New Roman"/>
                <w:sz w:val="23"/>
                <w:szCs w:val="23"/>
              </w:rPr>
              <w:t>Cursul de Parodontologie reprezintă un compartiment important în pregătirii specialiștilor în domeniul stomatologiei practice și are drept obiectiv studierea particularităților anatomo-fiziologice a țesuturilor ce formează parodonțiul marginal, complexitatea examinării (subiective, obiective și complimentare) pacienților cu afecțiuni ale parodonțiului marginal. De asemenea studierea elementelor de debut evoluție a proceselor patologice la nivelul parodonțiului marginal precum și complicațiile posibile la nivel local, și la nivelul întregului organism, inclusiv în apariția bolii de focar. Conținuturile cursului sunt structurate pentru a înțelege macro- și microstructura componentelor parodonțiului marginal, aspectele anatomo-fiziologice în condițiile unui parodonțiu sănătos și efectele interacțiunii cu întreg organismul uman. Totodată sunt descrise procesele patologice ce apar la nivelul parodonțiului marginal în condițiile specifice de la nivelul cavității orale, în prezența factorilor specifici locali, favorizanți ce inițiază și induc debutul și evoluția proceselor inflamatorii.</w:t>
            </w:r>
          </w:p>
        </w:tc>
      </w:tr>
      <w:tr w:rsidR="00950153" w:rsidRPr="00950153" w:rsidTr="0095015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153" w:rsidRPr="00950153" w:rsidRDefault="00950153" w:rsidP="00950153">
            <w:pPr>
              <w:spacing w:after="0" w:line="240" w:lineRule="auto"/>
              <w:rPr>
                <w:rFonts w:ascii="Times New Roman" w:eastAsia="Calibri" w:hAnsi="Times New Roman" w:cs="Times New Roman"/>
                <w:sz w:val="24"/>
                <w:szCs w:val="24"/>
                <w:lang w:val="ro-RO"/>
              </w:rPr>
            </w:pPr>
          </w:p>
        </w:tc>
        <w:tc>
          <w:tcPr>
            <w:tcW w:w="8505" w:type="dxa"/>
            <w:gridSpan w:val="4"/>
            <w:tcBorders>
              <w:top w:val="single" w:sz="4" w:space="0" w:color="auto"/>
              <w:left w:val="single" w:sz="4" w:space="0" w:color="auto"/>
              <w:bottom w:val="single" w:sz="4" w:space="0" w:color="auto"/>
              <w:right w:val="single" w:sz="4" w:space="0" w:color="auto"/>
            </w:tcBorders>
            <w:hideMark/>
          </w:tcPr>
          <w:p w:rsidR="00950153" w:rsidRPr="00950153" w:rsidRDefault="00950153" w:rsidP="00950153">
            <w:pPr>
              <w:spacing w:after="0" w:line="240" w:lineRule="auto"/>
              <w:jc w:val="both"/>
              <w:rPr>
                <w:rFonts w:ascii="Times New Roman" w:eastAsia="Calibri" w:hAnsi="Times New Roman" w:cs="Times New Roman"/>
                <w:sz w:val="23"/>
                <w:szCs w:val="23"/>
                <w:lang w:val="ro-RO"/>
              </w:rPr>
            </w:pPr>
            <w:r w:rsidRPr="00950153">
              <w:rPr>
                <w:rFonts w:ascii="Times New Roman" w:eastAsia="Calibri" w:hAnsi="Times New Roman" w:cs="Times New Roman"/>
                <w:iCs/>
                <w:sz w:val="23"/>
                <w:szCs w:val="23"/>
                <w:lang w:val="ro-RO"/>
              </w:rPr>
              <w:t xml:space="preserve">Competențe: </w:t>
            </w:r>
            <w:r w:rsidRPr="00950153">
              <w:rPr>
                <w:rFonts w:ascii="Times New Roman" w:eastAsia="Calibri" w:hAnsi="Times New Roman" w:cs="Times New Roman"/>
                <w:sz w:val="23"/>
                <w:szCs w:val="23"/>
              </w:rPr>
              <w:t xml:space="preserve">Utilizarea tehnicilor și procedeelor de înlăturare a plăcii bacteriene și a tartrului dentar, inclusiv periajul profesional ca componente a tratamentului parodontal complex care include mai multe etape: </w:t>
            </w:r>
            <w:r w:rsidRPr="00950153">
              <w:rPr>
                <w:rFonts w:ascii="Times New Roman" w:eastAsia="Calibri" w:hAnsi="Times New Roman" w:cs="Times New Roman"/>
                <w:b/>
                <w:sz w:val="23"/>
                <w:szCs w:val="23"/>
              </w:rPr>
              <w:t>tratamentul inițial</w:t>
            </w:r>
            <w:r w:rsidRPr="00950153">
              <w:rPr>
                <w:rFonts w:ascii="Times New Roman" w:eastAsia="Calibri" w:hAnsi="Times New Roman" w:cs="Times New Roman"/>
                <w:sz w:val="23"/>
                <w:szCs w:val="23"/>
              </w:rPr>
              <w:t xml:space="preserve"> (general la necesitate, odontal, parodontal, chirurgical, protetic - provizoriu); </w:t>
            </w:r>
            <w:r w:rsidRPr="00950153">
              <w:rPr>
                <w:rFonts w:ascii="Times New Roman" w:eastAsia="Calibri" w:hAnsi="Times New Roman" w:cs="Times New Roman"/>
                <w:b/>
                <w:sz w:val="23"/>
                <w:szCs w:val="23"/>
              </w:rPr>
              <w:t>tratamentul corectiv</w:t>
            </w:r>
            <w:r w:rsidRPr="00950153">
              <w:rPr>
                <w:rFonts w:ascii="Times New Roman" w:eastAsia="Calibri" w:hAnsi="Times New Roman" w:cs="Times New Roman"/>
                <w:sz w:val="23"/>
                <w:szCs w:val="23"/>
              </w:rPr>
              <w:t xml:space="preserve"> (chirurgia parodontală, protetic definitiv); </w:t>
            </w:r>
            <w:r w:rsidRPr="00950153">
              <w:rPr>
                <w:rFonts w:ascii="Times New Roman" w:eastAsia="Calibri" w:hAnsi="Times New Roman" w:cs="Times New Roman"/>
                <w:b/>
                <w:sz w:val="23"/>
                <w:szCs w:val="23"/>
              </w:rPr>
              <w:t>tratamentul de menținere</w:t>
            </w:r>
            <w:r w:rsidRPr="00950153">
              <w:rPr>
                <w:rFonts w:ascii="Times New Roman" w:eastAsia="Calibri" w:hAnsi="Times New Roman" w:cs="Times New Roman"/>
                <w:sz w:val="23"/>
                <w:szCs w:val="23"/>
              </w:rPr>
              <w:t xml:space="preserve"> (reevaluări clinice periodice, care poate conține elemente din etapele precedente). Astfel abordarea complexă </w:t>
            </w:r>
            <w:proofErr w:type="gramStart"/>
            <w:r w:rsidRPr="00950153">
              <w:rPr>
                <w:rFonts w:ascii="Times New Roman" w:eastAsia="Calibri" w:hAnsi="Times New Roman" w:cs="Times New Roman"/>
                <w:sz w:val="23"/>
                <w:szCs w:val="23"/>
              </w:rPr>
              <w:t>a</w:t>
            </w:r>
            <w:proofErr w:type="gramEnd"/>
            <w:r w:rsidRPr="00950153">
              <w:rPr>
                <w:rFonts w:ascii="Times New Roman" w:eastAsia="Calibri" w:hAnsi="Times New Roman" w:cs="Times New Roman"/>
                <w:sz w:val="23"/>
                <w:szCs w:val="23"/>
              </w:rPr>
              <w:t xml:space="preserve"> examinării, și tratamentului pacienților cu boala parodontală, interacțiunea la nivel de întreg organism sunt obiectivele de bază ale disciplinii.</w:t>
            </w:r>
          </w:p>
        </w:tc>
      </w:tr>
      <w:tr w:rsidR="00950153" w:rsidRPr="00950153" w:rsidTr="00950153">
        <w:trPr>
          <w:jc w:val="center"/>
        </w:trPr>
        <w:tc>
          <w:tcPr>
            <w:tcW w:w="2482" w:type="dxa"/>
            <w:tcBorders>
              <w:top w:val="single" w:sz="4" w:space="0" w:color="auto"/>
              <w:left w:val="single" w:sz="4" w:space="0" w:color="auto"/>
              <w:bottom w:val="single" w:sz="4" w:space="0" w:color="auto"/>
              <w:right w:val="single" w:sz="4" w:space="0" w:color="auto"/>
            </w:tcBorders>
            <w:shd w:val="clear" w:color="auto" w:fill="DEEAF6"/>
            <w:hideMark/>
          </w:tcPr>
          <w:p w:rsidR="00950153" w:rsidRPr="00950153" w:rsidRDefault="00950153" w:rsidP="00950153">
            <w:pPr>
              <w:spacing w:after="0" w:line="240" w:lineRule="auto"/>
              <w:rPr>
                <w:rFonts w:ascii="Times New Roman" w:eastAsia="Calibri" w:hAnsi="Times New Roman" w:cs="Times New Roman"/>
                <w:sz w:val="24"/>
                <w:szCs w:val="24"/>
                <w:lang w:val="ro-RO"/>
              </w:rPr>
            </w:pPr>
            <w:r w:rsidRPr="00950153">
              <w:rPr>
                <w:rFonts w:ascii="Times New Roman" w:eastAsia="Calibri" w:hAnsi="Times New Roman" w:cs="Times New Roman"/>
                <w:sz w:val="24"/>
                <w:szCs w:val="24"/>
                <w:lang w:val="ro-RO"/>
              </w:rPr>
              <w:t>Misiunea disciplinei</w:t>
            </w:r>
          </w:p>
        </w:tc>
        <w:tc>
          <w:tcPr>
            <w:tcW w:w="8505" w:type="dxa"/>
            <w:gridSpan w:val="4"/>
            <w:tcBorders>
              <w:top w:val="single" w:sz="4" w:space="0" w:color="auto"/>
              <w:left w:val="single" w:sz="4" w:space="0" w:color="auto"/>
              <w:bottom w:val="single" w:sz="4" w:space="0" w:color="auto"/>
              <w:right w:val="single" w:sz="4" w:space="0" w:color="auto"/>
            </w:tcBorders>
          </w:tcPr>
          <w:p w:rsidR="00950153" w:rsidRPr="00950153" w:rsidRDefault="00950153" w:rsidP="00950153">
            <w:pPr>
              <w:spacing w:after="0" w:line="240" w:lineRule="auto"/>
              <w:jc w:val="both"/>
              <w:rPr>
                <w:rFonts w:ascii="Times New Roman" w:eastAsia="Times New Roman" w:hAnsi="Times New Roman" w:cs="Times New Roman"/>
                <w:color w:val="000000"/>
                <w:sz w:val="24"/>
                <w:szCs w:val="24"/>
                <w:lang w:eastAsia="ru-RU"/>
              </w:rPr>
            </w:pPr>
            <w:r w:rsidRPr="00950153">
              <w:rPr>
                <w:rFonts w:ascii="Times New Roman" w:eastAsia="Times New Roman" w:hAnsi="Times New Roman" w:cs="Times New Roman"/>
                <w:color w:val="000000"/>
                <w:sz w:val="24"/>
                <w:szCs w:val="24"/>
                <w:lang w:eastAsia="ru-RU"/>
              </w:rPr>
              <w:t xml:space="preserve">Unul din obiectivele de bază ale cursului studierea și cunoașterea cauzelor (factorii etiologici) și mecanismul de debut și evoluție (mecanismul patogenic) a bolii parodontale, atât la nivel local cât și la nivel de întreg organism, examinarea complexă a pacienților, stabilirea diagnosticului, alcătuirea planului de tratament și realizarea lui, inclusiv toate elementele profilactice. </w:t>
            </w:r>
          </w:p>
          <w:p w:rsidR="00950153" w:rsidRPr="00950153" w:rsidRDefault="00950153" w:rsidP="00950153">
            <w:pPr>
              <w:spacing w:after="0" w:line="240" w:lineRule="auto"/>
              <w:jc w:val="both"/>
              <w:rPr>
                <w:rFonts w:ascii="Times New Roman" w:eastAsia="Times New Roman" w:hAnsi="Times New Roman" w:cs="Times New Roman"/>
                <w:color w:val="000000"/>
                <w:sz w:val="24"/>
                <w:szCs w:val="24"/>
                <w:lang w:eastAsia="ru-RU"/>
              </w:rPr>
            </w:pPr>
            <w:r w:rsidRPr="00950153">
              <w:rPr>
                <w:rFonts w:ascii="Times New Roman" w:eastAsia="Times New Roman" w:hAnsi="Times New Roman" w:cs="Times New Roman"/>
                <w:color w:val="000000"/>
                <w:sz w:val="24"/>
                <w:szCs w:val="24"/>
                <w:lang w:eastAsia="ru-RU"/>
              </w:rPr>
              <w:t xml:space="preserve">Un alt obiectiv important este cunoașterea structurii organizatorice </w:t>
            </w:r>
            <w:proofErr w:type="gramStart"/>
            <w:r w:rsidRPr="00950153">
              <w:rPr>
                <w:rFonts w:ascii="Times New Roman" w:eastAsia="Times New Roman" w:hAnsi="Times New Roman" w:cs="Times New Roman"/>
                <w:color w:val="000000"/>
                <w:sz w:val="24"/>
                <w:szCs w:val="24"/>
                <w:lang w:eastAsia="ru-RU"/>
              </w:rPr>
              <w:t>a</w:t>
            </w:r>
            <w:proofErr w:type="gramEnd"/>
            <w:r w:rsidRPr="00950153">
              <w:rPr>
                <w:rFonts w:ascii="Times New Roman" w:eastAsia="Times New Roman" w:hAnsi="Times New Roman" w:cs="Times New Roman"/>
                <w:color w:val="000000"/>
                <w:sz w:val="24"/>
                <w:szCs w:val="24"/>
                <w:lang w:eastAsia="ru-RU"/>
              </w:rPr>
              <w:t xml:space="preserve"> asistenţei stomatologice, organizarea şi utilarea cabinetului stomatologic de profil parodontologie, utilaj și instrumente utilizate în tratamentul parodontal complex. Totodată la nivel de înțelegere un obiectiv important este aspectul interdisciplinar în interiorul specializărilor stomatologice, dar și celor medicale generale, astfel menținând sănătatea orală și ca consecință </w:t>
            </w:r>
            <w:proofErr w:type="gramStart"/>
            <w:r w:rsidRPr="00950153">
              <w:rPr>
                <w:rFonts w:ascii="Times New Roman" w:eastAsia="Times New Roman" w:hAnsi="Times New Roman" w:cs="Times New Roman"/>
                <w:color w:val="000000"/>
                <w:sz w:val="24"/>
                <w:szCs w:val="24"/>
                <w:lang w:eastAsia="ru-RU"/>
              </w:rPr>
              <w:t>a</w:t>
            </w:r>
            <w:proofErr w:type="gramEnd"/>
            <w:r w:rsidRPr="00950153">
              <w:rPr>
                <w:rFonts w:ascii="Times New Roman" w:eastAsia="Times New Roman" w:hAnsi="Times New Roman" w:cs="Times New Roman"/>
                <w:color w:val="000000"/>
                <w:sz w:val="24"/>
                <w:szCs w:val="24"/>
                <w:lang w:eastAsia="ru-RU"/>
              </w:rPr>
              <w:t xml:space="preserve"> întregului organism. </w:t>
            </w:r>
          </w:p>
          <w:p w:rsidR="00950153" w:rsidRPr="00950153" w:rsidRDefault="00950153" w:rsidP="00950153">
            <w:pPr>
              <w:widowControl w:val="0"/>
              <w:spacing w:after="0" w:line="240" w:lineRule="auto"/>
              <w:ind w:right="33" w:firstLine="34"/>
              <w:jc w:val="both"/>
              <w:rPr>
                <w:rFonts w:ascii="Times New Roman" w:eastAsia="Calibri" w:hAnsi="Times New Roman" w:cs="Times New Roman"/>
                <w:iCs/>
                <w:sz w:val="23"/>
                <w:szCs w:val="23"/>
              </w:rPr>
            </w:pPr>
          </w:p>
        </w:tc>
      </w:tr>
      <w:tr w:rsidR="00950153" w:rsidRPr="00950153" w:rsidTr="00950153">
        <w:trPr>
          <w:jc w:val="center"/>
        </w:trPr>
        <w:tc>
          <w:tcPr>
            <w:tcW w:w="2482" w:type="dxa"/>
            <w:tcBorders>
              <w:top w:val="single" w:sz="4" w:space="0" w:color="auto"/>
              <w:left w:val="single" w:sz="4" w:space="0" w:color="auto"/>
              <w:bottom w:val="single" w:sz="4" w:space="0" w:color="auto"/>
              <w:right w:val="single" w:sz="4" w:space="0" w:color="auto"/>
            </w:tcBorders>
            <w:hideMark/>
          </w:tcPr>
          <w:p w:rsidR="00950153" w:rsidRPr="00950153" w:rsidRDefault="00950153" w:rsidP="00950153">
            <w:pPr>
              <w:spacing w:after="0" w:line="240" w:lineRule="auto"/>
              <w:rPr>
                <w:rFonts w:ascii="Times New Roman" w:eastAsia="Calibri" w:hAnsi="Times New Roman" w:cs="Times New Roman"/>
                <w:sz w:val="24"/>
                <w:szCs w:val="24"/>
                <w:lang w:val="ro-RO"/>
              </w:rPr>
            </w:pPr>
            <w:r w:rsidRPr="00950153">
              <w:rPr>
                <w:rFonts w:ascii="Times New Roman" w:eastAsia="Calibri" w:hAnsi="Times New Roman" w:cs="Times New Roman"/>
                <w:sz w:val="24"/>
                <w:szCs w:val="24"/>
                <w:lang w:val="ro-RO"/>
              </w:rPr>
              <w:t>Tematica prezentată</w:t>
            </w:r>
          </w:p>
        </w:tc>
        <w:tc>
          <w:tcPr>
            <w:tcW w:w="8505" w:type="dxa"/>
            <w:gridSpan w:val="4"/>
            <w:tcBorders>
              <w:top w:val="single" w:sz="4" w:space="0" w:color="auto"/>
              <w:left w:val="single" w:sz="4" w:space="0" w:color="auto"/>
              <w:bottom w:val="single" w:sz="4" w:space="0" w:color="auto"/>
              <w:right w:val="single" w:sz="4" w:space="0" w:color="auto"/>
            </w:tcBorders>
          </w:tcPr>
          <w:p w:rsidR="00950153" w:rsidRPr="00950153" w:rsidRDefault="00950153" w:rsidP="00950153">
            <w:pPr>
              <w:numPr>
                <w:ilvl w:val="0"/>
                <w:numId w:val="6"/>
              </w:numPr>
              <w:spacing w:after="43" w:line="269" w:lineRule="auto"/>
              <w:ind w:right="5" w:hanging="420"/>
              <w:jc w:val="both"/>
              <w:rPr>
                <w:rFonts w:ascii="Times New Roman" w:eastAsia="Times New Roman" w:hAnsi="Times New Roman" w:cs="Times New Roman"/>
                <w:color w:val="000000"/>
                <w:sz w:val="24"/>
              </w:rPr>
            </w:pPr>
            <w:r w:rsidRPr="00950153">
              <w:rPr>
                <w:rFonts w:ascii="Times New Roman" w:eastAsia="Times New Roman" w:hAnsi="Times New Roman" w:cs="Times New Roman"/>
                <w:b/>
                <w:i/>
                <w:color w:val="000000"/>
                <w:sz w:val="24"/>
              </w:rPr>
              <w:t xml:space="preserve">La nivel de cunoaștere și înțelegere: </w:t>
            </w:r>
          </w:p>
          <w:p w:rsidR="00950153" w:rsidRPr="00950153" w:rsidRDefault="00950153" w:rsidP="00950153">
            <w:pPr>
              <w:numPr>
                <w:ilvl w:val="1"/>
                <w:numId w:val="6"/>
              </w:numPr>
              <w:spacing w:after="30"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lastRenderedPageBreak/>
              <w:t xml:space="preserve">să cunoască structura şi organizarea asistenţei stomatologice, organizarea şi utilarea cabinetului stomatologic și a cabinetului de profil parodontologie; </w:t>
            </w:r>
          </w:p>
          <w:p w:rsidR="00950153" w:rsidRPr="00950153" w:rsidRDefault="00950153" w:rsidP="00950153">
            <w:pPr>
              <w:numPr>
                <w:ilvl w:val="1"/>
                <w:numId w:val="6"/>
              </w:numPr>
              <w:spacing w:after="36"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cunoască locul și rolul parodontologiei în tratamentul și profilaxia afecțiunilor stomatologice; </w:t>
            </w:r>
          </w:p>
          <w:p w:rsidR="00950153" w:rsidRPr="00950153" w:rsidRDefault="00950153" w:rsidP="00950153">
            <w:pPr>
              <w:numPr>
                <w:ilvl w:val="1"/>
                <w:numId w:val="6"/>
              </w:numPr>
              <w:spacing w:after="5"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cunoască utilajul și instrumentarul de examinare, și tratament a bolii parodontale (instalația stomatologică, instrumente și aparate pentru examinarea complexă, instrumente pentru </w:t>
            </w:r>
          </w:p>
          <w:p w:rsidR="00950153" w:rsidRPr="00950153" w:rsidRDefault="00950153" w:rsidP="00950153">
            <w:pPr>
              <w:spacing w:after="32" w:line="269" w:lineRule="auto"/>
              <w:ind w:left="610" w:hanging="10"/>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detartraj, chiuretaj și chirurgie parodontală etc); </w:t>
            </w:r>
          </w:p>
          <w:p w:rsidR="00950153" w:rsidRPr="00950153" w:rsidRDefault="00950153" w:rsidP="00950153">
            <w:pPr>
              <w:numPr>
                <w:ilvl w:val="1"/>
                <w:numId w:val="6"/>
              </w:numPr>
              <w:spacing w:after="35" w:line="266"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sa cunoască structura și funcțiile parodonțiului marginal; </w:t>
            </w:r>
            <w:r w:rsidRPr="00950153">
              <w:rPr>
                <w:rFonts w:ascii="Segoe UI Symbol" w:eastAsia="Segoe UI Symbol" w:hAnsi="Segoe UI Symbol" w:cs="Segoe UI Symbol"/>
                <w:color w:val="000000"/>
                <w:sz w:val="24"/>
              </w:rPr>
              <w:t>•</w:t>
            </w:r>
            <w:r w:rsidRPr="00950153">
              <w:rPr>
                <w:rFonts w:ascii="Arial" w:eastAsia="Arial" w:hAnsi="Arial" w:cs="Arial"/>
                <w:color w:val="000000"/>
                <w:sz w:val="24"/>
              </w:rPr>
              <w:t xml:space="preserve"> </w:t>
            </w:r>
            <w:r w:rsidRPr="00950153">
              <w:rPr>
                <w:rFonts w:ascii="Times New Roman" w:eastAsia="Times New Roman" w:hAnsi="Times New Roman" w:cs="Times New Roman"/>
                <w:color w:val="000000"/>
                <w:sz w:val="24"/>
              </w:rPr>
              <w:t xml:space="preserve">sa cunoască și să înțeleagă procesele fiziologice ce se petrec la nivelul țesuturilor parodonțiului marginal (gingie, periodonțiu și țesutul osos de susținere); </w:t>
            </w:r>
          </w:p>
          <w:p w:rsidR="00950153" w:rsidRPr="00950153" w:rsidRDefault="00950153" w:rsidP="00950153">
            <w:pPr>
              <w:numPr>
                <w:ilvl w:val="1"/>
                <w:numId w:val="6"/>
              </w:numPr>
              <w:spacing w:after="5"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sa cunoască regulile de aseptica și antiseptică în stomatologie; </w:t>
            </w:r>
          </w:p>
          <w:p w:rsidR="00950153" w:rsidRPr="00950153" w:rsidRDefault="00950153" w:rsidP="00950153">
            <w:pPr>
              <w:numPr>
                <w:ilvl w:val="1"/>
                <w:numId w:val="6"/>
              </w:numPr>
              <w:spacing w:after="5"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cunoască noțiunile procesului inflamator la nivelul țesuturilor parodontale; </w:t>
            </w:r>
          </w:p>
          <w:p w:rsidR="00950153" w:rsidRPr="00950153" w:rsidRDefault="00950153" w:rsidP="00950153">
            <w:pPr>
              <w:numPr>
                <w:ilvl w:val="1"/>
                <w:numId w:val="6"/>
              </w:numPr>
              <w:spacing w:after="5"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cunoască indicii de placă, de sângerare, de tartru și parodontali; </w:t>
            </w:r>
          </w:p>
          <w:p w:rsidR="00950153" w:rsidRPr="00950153" w:rsidRDefault="00950153" w:rsidP="00950153">
            <w:pPr>
              <w:tabs>
                <w:tab w:val="left" w:pos="5595"/>
              </w:tabs>
              <w:spacing w:after="5" w:line="269" w:lineRule="auto"/>
              <w:ind w:left="44" w:right="5" w:hanging="10"/>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ab/>
            </w:r>
            <w:r w:rsidRPr="00950153">
              <w:rPr>
                <w:rFonts w:ascii="Times New Roman" w:eastAsia="Times New Roman" w:hAnsi="Times New Roman" w:cs="Times New Roman"/>
                <w:color w:val="000000"/>
                <w:sz w:val="24"/>
              </w:rPr>
              <w:tab/>
            </w:r>
          </w:p>
          <w:p w:rsidR="00950153" w:rsidRPr="00950153" w:rsidRDefault="00950153" w:rsidP="00950153">
            <w:pPr>
              <w:numPr>
                <w:ilvl w:val="1"/>
                <w:numId w:val="6"/>
              </w:numPr>
              <w:spacing w:after="28"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w:t>
            </w:r>
            <w:r w:rsidRPr="00950153">
              <w:rPr>
                <w:rFonts w:ascii="Times New Roman" w:eastAsia="Times New Roman" w:hAnsi="Times New Roman" w:cs="Times New Roman"/>
                <w:color w:val="000000"/>
                <w:sz w:val="24"/>
              </w:rPr>
              <w:tab/>
              <w:t xml:space="preserve">cunoască </w:t>
            </w:r>
            <w:r w:rsidRPr="00950153">
              <w:rPr>
                <w:rFonts w:ascii="Times New Roman" w:eastAsia="Times New Roman" w:hAnsi="Times New Roman" w:cs="Times New Roman"/>
                <w:color w:val="000000"/>
                <w:sz w:val="24"/>
              </w:rPr>
              <w:tab/>
              <w:t xml:space="preserve">componentele </w:t>
            </w:r>
            <w:r w:rsidRPr="00950153">
              <w:rPr>
                <w:rFonts w:ascii="Times New Roman" w:eastAsia="Times New Roman" w:hAnsi="Times New Roman" w:cs="Times New Roman"/>
                <w:color w:val="000000"/>
                <w:sz w:val="24"/>
              </w:rPr>
              <w:tab/>
              <w:t xml:space="preserve">și </w:t>
            </w:r>
            <w:r w:rsidRPr="00950153">
              <w:rPr>
                <w:rFonts w:ascii="Times New Roman" w:eastAsia="Times New Roman" w:hAnsi="Times New Roman" w:cs="Times New Roman"/>
                <w:color w:val="000000"/>
                <w:sz w:val="24"/>
              </w:rPr>
              <w:tab/>
              <w:t xml:space="preserve">semnificația </w:t>
            </w:r>
            <w:r w:rsidRPr="00950153">
              <w:rPr>
                <w:rFonts w:ascii="Times New Roman" w:eastAsia="Times New Roman" w:hAnsi="Times New Roman" w:cs="Times New Roman"/>
                <w:color w:val="000000"/>
                <w:sz w:val="24"/>
              </w:rPr>
              <w:tab/>
              <w:t xml:space="preserve">statusului </w:t>
            </w:r>
            <w:r w:rsidRPr="00950153">
              <w:rPr>
                <w:rFonts w:ascii="Times New Roman" w:eastAsia="Times New Roman" w:hAnsi="Times New Roman" w:cs="Times New Roman"/>
                <w:color w:val="000000"/>
                <w:sz w:val="24"/>
              </w:rPr>
              <w:tab/>
              <w:t xml:space="preserve">parodontal </w:t>
            </w:r>
            <w:r w:rsidRPr="00950153">
              <w:rPr>
                <w:rFonts w:ascii="Times New Roman" w:eastAsia="Times New Roman" w:hAnsi="Times New Roman" w:cs="Times New Roman"/>
                <w:color w:val="000000"/>
                <w:sz w:val="24"/>
              </w:rPr>
              <w:tab/>
              <w:t xml:space="preserve">(componentele parodontogramei); </w:t>
            </w:r>
          </w:p>
          <w:p w:rsidR="00950153" w:rsidRPr="00950153" w:rsidRDefault="00950153" w:rsidP="00950153">
            <w:pPr>
              <w:numPr>
                <w:ilvl w:val="1"/>
                <w:numId w:val="6"/>
              </w:numPr>
              <w:spacing w:after="29"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cunoască metode de examinare și diagnosticare a bolii parodontale – a gingivitelor, parodontitei marginale (clinice și paraclinice); </w:t>
            </w:r>
          </w:p>
          <w:p w:rsidR="00950153" w:rsidRPr="00950153" w:rsidRDefault="00950153" w:rsidP="00950153">
            <w:pPr>
              <w:numPr>
                <w:ilvl w:val="1"/>
                <w:numId w:val="6"/>
              </w:numPr>
              <w:spacing w:after="5"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cunoască clasificările bolii parodontale (naționale și internaționale); </w:t>
            </w:r>
          </w:p>
          <w:p w:rsidR="00950153" w:rsidRPr="00950153" w:rsidRDefault="00950153" w:rsidP="00950153">
            <w:pPr>
              <w:numPr>
                <w:ilvl w:val="1"/>
                <w:numId w:val="6"/>
              </w:numPr>
              <w:spacing w:after="30"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cunoască factorii etiologici (locali și generali) în apariția și evoluția bolii parodontale precum și factorii favorizanți și determinanți; </w:t>
            </w:r>
          </w:p>
          <w:p w:rsidR="00950153" w:rsidRPr="00950153" w:rsidRDefault="00950153" w:rsidP="00950153">
            <w:pPr>
              <w:numPr>
                <w:ilvl w:val="1"/>
                <w:numId w:val="6"/>
              </w:numPr>
              <w:spacing w:after="29"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cunoască și să înțeleagă mecanismul patogenic în debutul și evoluția bolii parodontale (gingivitei și parodontitei marginale); </w:t>
            </w:r>
          </w:p>
          <w:p w:rsidR="00950153" w:rsidRPr="00950153" w:rsidRDefault="00950153" w:rsidP="00950153">
            <w:pPr>
              <w:numPr>
                <w:ilvl w:val="1"/>
                <w:numId w:val="6"/>
              </w:numPr>
              <w:spacing w:after="5"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cunoască și să înțeleagă modificările morfologice în țesuturile parodonțiului marginal; </w:t>
            </w:r>
          </w:p>
          <w:p w:rsidR="00950153" w:rsidRPr="00950153" w:rsidRDefault="00950153" w:rsidP="00950153">
            <w:pPr>
              <w:numPr>
                <w:ilvl w:val="1"/>
                <w:numId w:val="6"/>
              </w:numPr>
              <w:spacing w:after="29"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cunoască și să înțeleagă mecanismul de acțiune a produselor metabolice de la nivelul parodonțiului marginal asupra întregului organism; </w:t>
            </w:r>
          </w:p>
          <w:p w:rsidR="00950153" w:rsidRPr="00950153" w:rsidRDefault="00950153" w:rsidP="00950153">
            <w:pPr>
              <w:numPr>
                <w:ilvl w:val="1"/>
                <w:numId w:val="6"/>
              </w:numPr>
              <w:spacing w:after="5"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cunoască tehnicile și procedeele de anestezie în stomatologie; </w:t>
            </w:r>
          </w:p>
          <w:p w:rsidR="00950153" w:rsidRPr="00950153" w:rsidRDefault="00950153" w:rsidP="00950153">
            <w:pPr>
              <w:numPr>
                <w:ilvl w:val="1"/>
                <w:numId w:val="6"/>
              </w:numPr>
              <w:spacing w:after="30"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cunoască și să înțeleagă mecanismul de acțiune a substanțelor anestezice asupra zonei de anestezie și a întregului organism; </w:t>
            </w:r>
          </w:p>
          <w:p w:rsidR="00950153" w:rsidRPr="00950153" w:rsidRDefault="00950153" w:rsidP="00950153">
            <w:pPr>
              <w:numPr>
                <w:ilvl w:val="1"/>
                <w:numId w:val="6"/>
              </w:numPr>
              <w:spacing w:after="30"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cunoască și să înțeleagă cauzele posibilele complicații după aplicarea anesteziei și acordarea ajutorului medical de urgență; </w:t>
            </w:r>
          </w:p>
          <w:p w:rsidR="00950153" w:rsidRPr="00950153" w:rsidRDefault="00950153" w:rsidP="00950153">
            <w:pPr>
              <w:numPr>
                <w:ilvl w:val="1"/>
                <w:numId w:val="6"/>
              </w:numPr>
              <w:spacing w:after="30"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cunoască remediile medicamentoase folosite în tratamentul bolii parodontale (antibiotice, antiseptice biostimulatoarele, etc.), acțiunea lor locală și generală; </w:t>
            </w:r>
          </w:p>
          <w:p w:rsidR="00950153" w:rsidRPr="00950153" w:rsidRDefault="00950153" w:rsidP="00950153">
            <w:pPr>
              <w:numPr>
                <w:ilvl w:val="1"/>
                <w:numId w:val="6"/>
              </w:numPr>
              <w:spacing w:after="30"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cunoască clasificarea materialelor folosite în tratamentul bolii parodontale de șinare provizorie și de durată; </w:t>
            </w:r>
          </w:p>
          <w:p w:rsidR="00950153" w:rsidRPr="00950153" w:rsidRDefault="00950153" w:rsidP="00950153">
            <w:pPr>
              <w:numPr>
                <w:ilvl w:val="1"/>
                <w:numId w:val="6"/>
              </w:numPr>
              <w:spacing w:after="29" w:line="269" w:lineRule="auto"/>
              <w:ind w:right="5" w:hanging="283"/>
              <w:jc w:val="both"/>
              <w:rPr>
                <w:rFonts w:ascii="Times New Roman" w:eastAsia="Times New Roman" w:hAnsi="Times New Roman" w:cs="Times New Roman"/>
                <w:color w:val="000000"/>
                <w:sz w:val="24"/>
              </w:rPr>
            </w:pPr>
            <w:proofErr w:type="gramStart"/>
            <w:r w:rsidRPr="00950153">
              <w:rPr>
                <w:rFonts w:ascii="Times New Roman" w:eastAsia="Times New Roman" w:hAnsi="Times New Roman" w:cs="Times New Roman"/>
                <w:color w:val="000000"/>
                <w:sz w:val="24"/>
              </w:rPr>
              <w:t>să</w:t>
            </w:r>
            <w:proofErr w:type="gramEnd"/>
            <w:r w:rsidRPr="00950153">
              <w:rPr>
                <w:rFonts w:ascii="Times New Roman" w:eastAsia="Times New Roman" w:hAnsi="Times New Roman" w:cs="Times New Roman"/>
                <w:color w:val="000000"/>
                <w:sz w:val="24"/>
              </w:rPr>
              <w:t xml:space="preserve"> cunoască tehnici și procedee de înlăturarea depozitelor dentare (detartraj manual, ultrasonic, combinat și periaj profesional, irigații, etc.); </w:t>
            </w:r>
          </w:p>
          <w:p w:rsidR="00950153" w:rsidRPr="00950153" w:rsidRDefault="00950153" w:rsidP="00950153">
            <w:pPr>
              <w:numPr>
                <w:ilvl w:val="1"/>
                <w:numId w:val="6"/>
              </w:numPr>
              <w:spacing w:after="5"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lastRenderedPageBreak/>
              <w:t xml:space="preserve">să cunoască instrumentele și aparatele folosite pentru înlăturarea depozitelor dentare; </w:t>
            </w:r>
          </w:p>
          <w:p w:rsidR="00950153" w:rsidRPr="00950153" w:rsidRDefault="00950153" w:rsidP="00950153">
            <w:pPr>
              <w:numPr>
                <w:ilvl w:val="1"/>
                <w:numId w:val="6"/>
              </w:numPr>
              <w:spacing w:after="29"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cunoască tehnicile și instrumentarul utilizat la chiuretajul pe câmp închis (indicații, contraindicații, etape și consecutivitate);  </w:t>
            </w:r>
          </w:p>
          <w:p w:rsidR="00950153" w:rsidRPr="00950153" w:rsidRDefault="00950153" w:rsidP="00950153">
            <w:pPr>
              <w:numPr>
                <w:ilvl w:val="1"/>
                <w:numId w:val="6"/>
              </w:numPr>
              <w:spacing w:after="30"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cunoască noțiune de chirurgie parodontală (muco-gingivală, rezectivă, regenerativă și reconstructivă); </w:t>
            </w:r>
          </w:p>
          <w:p w:rsidR="00950153" w:rsidRPr="00950153" w:rsidRDefault="00950153" w:rsidP="00950153">
            <w:pPr>
              <w:numPr>
                <w:ilvl w:val="1"/>
                <w:numId w:val="6"/>
              </w:numPr>
              <w:spacing w:after="5"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cunoască clasificarea tehnicilor și procedeelor chirurgicale (gingivectomie/gingivoplastie); </w:t>
            </w:r>
          </w:p>
          <w:p w:rsidR="00950153" w:rsidRPr="00950153" w:rsidRDefault="00950153" w:rsidP="00950153">
            <w:pPr>
              <w:numPr>
                <w:ilvl w:val="1"/>
                <w:numId w:val="6"/>
              </w:numPr>
              <w:spacing w:after="5"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cunoască indicațiile și contraindicațiile în chirurgia parodontală; </w:t>
            </w:r>
          </w:p>
          <w:p w:rsidR="00950153" w:rsidRPr="00950153" w:rsidRDefault="00950153" w:rsidP="00950153">
            <w:pPr>
              <w:numPr>
                <w:ilvl w:val="1"/>
                <w:numId w:val="6"/>
              </w:numPr>
              <w:spacing w:after="5"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cunoască etapele și consecutivitatea procedeelor chirurgicale (gingivectomie/ gingivoplastie); </w:t>
            </w:r>
            <w:r w:rsidRPr="00950153">
              <w:rPr>
                <w:rFonts w:ascii="Segoe UI Symbol" w:eastAsia="Segoe UI Symbol" w:hAnsi="Segoe UI Symbol" w:cs="Segoe UI Symbol"/>
                <w:color w:val="000000"/>
                <w:sz w:val="24"/>
              </w:rPr>
              <w:t>•</w:t>
            </w:r>
            <w:r w:rsidRPr="00950153">
              <w:rPr>
                <w:rFonts w:ascii="Arial" w:eastAsia="Arial" w:hAnsi="Arial" w:cs="Arial"/>
                <w:color w:val="000000"/>
                <w:sz w:val="24"/>
              </w:rPr>
              <w:t xml:space="preserve"> </w:t>
            </w:r>
            <w:r w:rsidRPr="00950153">
              <w:rPr>
                <w:rFonts w:ascii="Times New Roman" w:eastAsia="Times New Roman" w:hAnsi="Times New Roman" w:cs="Times New Roman"/>
                <w:color w:val="000000"/>
                <w:sz w:val="24"/>
              </w:rPr>
              <w:t xml:space="preserve">să cunoască instrumentarul și utilajul folosite în chirurgia parodontală; </w:t>
            </w:r>
          </w:p>
          <w:p w:rsidR="00950153" w:rsidRPr="00950153" w:rsidRDefault="00950153" w:rsidP="00950153">
            <w:pPr>
              <w:numPr>
                <w:ilvl w:val="1"/>
                <w:numId w:val="6"/>
              </w:numPr>
              <w:spacing w:after="5"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cunoască elemente de îngrijire a plăgii postoperatorie în chirurgia parodontală (remedii medicamentoase de uz local și pe cale generală, recomandări pacientului); </w:t>
            </w:r>
          </w:p>
          <w:p w:rsidR="00950153" w:rsidRPr="00950153" w:rsidRDefault="00950153" w:rsidP="00950153">
            <w:pPr>
              <w:numPr>
                <w:ilvl w:val="1"/>
                <w:numId w:val="6"/>
              </w:numPr>
              <w:spacing w:after="30"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cunoască cadrul legislativ privind dreptul la sănătate, deepturile fundamentale ale pacientului, accesibilitatea, acceptabilitatea și disponibilitatea serviciilor medicale – obligațiile statului și protecție legală; </w:t>
            </w:r>
          </w:p>
          <w:p w:rsidR="00950153" w:rsidRPr="00950153" w:rsidRDefault="00950153" w:rsidP="00950153">
            <w:pPr>
              <w:numPr>
                <w:ilvl w:val="1"/>
                <w:numId w:val="6"/>
              </w:numPr>
              <w:spacing w:after="5" w:line="347" w:lineRule="auto"/>
              <w:ind w:right="5" w:hanging="283"/>
              <w:jc w:val="both"/>
              <w:rPr>
                <w:rFonts w:ascii="Times New Roman" w:eastAsia="Times New Roman" w:hAnsi="Times New Roman" w:cs="Times New Roman"/>
                <w:color w:val="000000"/>
                <w:sz w:val="24"/>
              </w:rPr>
            </w:pPr>
            <w:proofErr w:type="gramStart"/>
            <w:r w:rsidRPr="00950153">
              <w:rPr>
                <w:rFonts w:ascii="Times New Roman" w:eastAsia="Times New Roman" w:hAnsi="Times New Roman" w:cs="Times New Roman"/>
                <w:color w:val="000000"/>
                <w:sz w:val="24"/>
              </w:rPr>
              <w:t>să</w:t>
            </w:r>
            <w:proofErr w:type="gramEnd"/>
            <w:r w:rsidRPr="00950153">
              <w:rPr>
                <w:rFonts w:ascii="Times New Roman" w:eastAsia="Times New Roman" w:hAnsi="Times New Roman" w:cs="Times New Roman"/>
                <w:color w:val="000000"/>
                <w:sz w:val="24"/>
              </w:rPr>
              <w:t xml:space="preserve"> cunoască principiile comunicării asertive în cadrul actului medical stomatologic specializat. </w:t>
            </w:r>
            <w:r w:rsidRPr="00950153">
              <w:rPr>
                <w:rFonts w:ascii="Wingdings" w:eastAsia="Wingdings" w:hAnsi="Wingdings" w:cs="Wingdings"/>
                <w:color w:val="000000"/>
                <w:sz w:val="24"/>
              </w:rPr>
              <w:t>✓</w:t>
            </w:r>
            <w:r w:rsidRPr="00950153">
              <w:rPr>
                <w:rFonts w:ascii="Arial" w:eastAsia="Arial" w:hAnsi="Arial" w:cs="Arial"/>
                <w:color w:val="000000"/>
                <w:sz w:val="24"/>
              </w:rPr>
              <w:t xml:space="preserve"> </w:t>
            </w:r>
            <w:r w:rsidRPr="00950153">
              <w:rPr>
                <w:rFonts w:ascii="Times New Roman" w:eastAsia="Times New Roman" w:hAnsi="Times New Roman" w:cs="Times New Roman"/>
                <w:b/>
                <w:i/>
                <w:color w:val="000000"/>
                <w:sz w:val="24"/>
              </w:rPr>
              <w:t xml:space="preserve">La nivel de aplicare: </w:t>
            </w:r>
          </w:p>
          <w:p w:rsidR="00950153" w:rsidRPr="00950153" w:rsidRDefault="00950153" w:rsidP="00950153">
            <w:pPr>
              <w:numPr>
                <w:ilvl w:val="1"/>
                <w:numId w:val="6"/>
              </w:numPr>
              <w:spacing w:after="5"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poată colecta datele pacientului pentru o anamneză completă (examenul subiectiv); </w:t>
            </w:r>
          </w:p>
          <w:p w:rsidR="00950153" w:rsidRPr="00950153" w:rsidRDefault="00950153" w:rsidP="00950153">
            <w:pPr>
              <w:numPr>
                <w:ilvl w:val="1"/>
                <w:numId w:val="6"/>
              </w:numPr>
              <w:spacing w:after="5"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poată completa fișa medicală a pacientului cu boala parodontală, inclusiv a acordul informat; </w:t>
            </w:r>
            <w:r w:rsidRPr="00950153">
              <w:rPr>
                <w:rFonts w:ascii="Segoe UI Symbol" w:eastAsia="Segoe UI Symbol" w:hAnsi="Segoe UI Symbol" w:cs="Segoe UI Symbol"/>
                <w:color w:val="000000"/>
                <w:sz w:val="24"/>
              </w:rPr>
              <w:t>•</w:t>
            </w:r>
            <w:r w:rsidRPr="00950153">
              <w:rPr>
                <w:rFonts w:ascii="Arial" w:eastAsia="Arial" w:hAnsi="Arial" w:cs="Arial"/>
                <w:color w:val="000000"/>
                <w:sz w:val="24"/>
              </w:rPr>
              <w:t xml:space="preserve"> </w:t>
            </w:r>
            <w:r w:rsidRPr="00950153">
              <w:rPr>
                <w:rFonts w:ascii="Times New Roman" w:eastAsia="Times New Roman" w:hAnsi="Times New Roman" w:cs="Times New Roman"/>
                <w:color w:val="000000"/>
                <w:sz w:val="24"/>
              </w:rPr>
              <w:t xml:space="preserve">să poată evidenția datele importante pentru stabilirea diagnosticului; </w:t>
            </w:r>
          </w:p>
          <w:p w:rsidR="00950153" w:rsidRPr="00950153" w:rsidRDefault="00950153" w:rsidP="00950153">
            <w:pPr>
              <w:numPr>
                <w:ilvl w:val="1"/>
                <w:numId w:val="6"/>
              </w:numPr>
              <w:spacing w:after="29"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posde abilități de comunicare cu pacientul parodontopat pentru a obține informație completă, pentru stabilirea diagnosticului; </w:t>
            </w:r>
          </w:p>
          <w:p w:rsidR="00950153" w:rsidRPr="00950153" w:rsidRDefault="00950153" w:rsidP="00950153">
            <w:pPr>
              <w:numPr>
                <w:ilvl w:val="1"/>
                <w:numId w:val="6"/>
              </w:numPr>
              <w:spacing w:after="5"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poată efectua examenul clinic și paraclinic al pacientului cu boala parodontală; </w:t>
            </w:r>
          </w:p>
          <w:p w:rsidR="00950153" w:rsidRPr="00950153" w:rsidRDefault="00950153" w:rsidP="00950153">
            <w:pPr>
              <w:numPr>
                <w:ilvl w:val="1"/>
                <w:numId w:val="6"/>
              </w:numPr>
              <w:spacing w:after="5"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poată argumenta necesitatea examenului paraclinic ales în funcție de cazul clinic; </w:t>
            </w:r>
          </w:p>
          <w:p w:rsidR="00950153" w:rsidRPr="00950153" w:rsidRDefault="00950153" w:rsidP="00950153">
            <w:pPr>
              <w:numPr>
                <w:ilvl w:val="1"/>
                <w:numId w:val="6"/>
              </w:numPr>
              <w:spacing w:after="5"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poată descrie etapele și metodele de asepsie și antisepsie; </w:t>
            </w:r>
          </w:p>
          <w:p w:rsidR="00950153" w:rsidRPr="00950153" w:rsidRDefault="00950153" w:rsidP="00950153">
            <w:pPr>
              <w:numPr>
                <w:ilvl w:val="1"/>
                <w:numId w:val="6"/>
              </w:numPr>
              <w:spacing w:after="36"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poată descrie substanțele antiseptice utilizate în parodontologie și indicațiile de utilizare a acestora;  </w:t>
            </w:r>
          </w:p>
          <w:p w:rsidR="00950153" w:rsidRPr="00950153" w:rsidRDefault="00950153" w:rsidP="00950153">
            <w:pPr>
              <w:numPr>
                <w:ilvl w:val="1"/>
                <w:numId w:val="6"/>
              </w:numPr>
              <w:spacing w:after="5"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poată descrie și aplica tehnicile de anestezie în tratamentele parodontale; </w:t>
            </w:r>
          </w:p>
          <w:p w:rsidR="00950153" w:rsidRPr="00950153" w:rsidRDefault="00950153" w:rsidP="00950153">
            <w:pPr>
              <w:numPr>
                <w:ilvl w:val="1"/>
                <w:numId w:val="6"/>
              </w:numPr>
              <w:spacing w:after="5"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posede abilități de acrodarea ajutorului medical de urgență; </w:t>
            </w:r>
          </w:p>
          <w:p w:rsidR="00950153" w:rsidRPr="00950153" w:rsidRDefault="00950153" w:rsidP="00950153">
            <w:pPr>
              <w:numPr>
                <w:ilvl w:val="1"/>
                <w:numId w:val="6"/>
              </w:numPr>
              <w:spacing w:after="30" w:line="269" w:lineRule="auto"/>
              <w:ind w:right="5" w:hanging="283"/>
              <w:jc w:val="both"/>
              <w:rPr>
                <w:rFonts w:ascii="Times New Roman" w:eastAsia="Times New Roman" w:hAnsi="Times New Roman" w:cs="Times New Roman"/>
                <w:color w:val="000000"/>
                <w:sz w:val="24"/>
              </w:rPr>
            </w:pPr>
            <w:proofErr w:type="gramStart"/>
            <w:r w:rsidRPr="00950153">
              <w:rPr>
                <w:rFonts w:ascii="Times New Roman" w:eastAsia="Times New Roman" w:hAnsi="Times New Roman" w:cs="Times New Roman"/>
                <w:color w:val="000000"/>
                <w:sz w:val="24"/>
              </w:rPr>
              <w:t>să</w:t>
            </w:r>
            <w:proofErr w:type="gramEnd"/>
            <w:r w:rsidRPr="00950153">
              <w:rPr>
                <w:rFonts w:ascii="Times New Roman" w:eastAsia="Times New Roman" w:hAnsi="Times New Roman" w:cs="Times New Roman"/>
                <w:color w:val="000000"/>
                <w:sz w:val="24"/>
              </w:rPr>
              <w:t xml:space="preserve"> posede tehnicile și procedeele de înlăturarea depoziteleor dentare (detartraj manual, ultrasonic, combinat și periaj profesional, Air-Flow a subgingival, irigații, etc.); </w:t>
            </w:r>
          </w:p>
          <w:p w:rsidR="00950153" w:rsidRPr="00950153" w:rsidRDefault="00950153" w:rsidP="00950153">
            <w:pPr>
              <w:numPr>
                <w:ilvl w:val="1"/>
                <w:numId w:val="6"/>
              </w:numPr>
              <w:spacing w:after="5"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cunoască și să poată descrie instrumentele și materialele folosite în chirurgia parodontală; </w:t>
            </w:r>
          </w:p>
          <w:p w:rsidR="00950153" w:rsidRPr="00950153" w:rsidRDefault="00950153" w:rsidP="00950153">
            <w:pPr>
              <w:numPr>
                <w:ilvl w:val="1"/>
                <w:numId w:val="6"/>
              </w:numPr>
              <w:spacing w:after="31"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lastRenderedPageBreak/>
              <w:t xml:space="preserve">să poată efectua debridarea și decontaminarea pungilor parodontale (manual și cu aparatul Vector, laser-ul, terapia fotodinamică); </w:t>
            </w:r>
          </w:p>
          <w:p w:rsidR="00950153" w:rsidRPr="00950153" w:rsidRDefault="00950153" w:rsidP="00950153">
            <w:pPr>
              <w:numPr>
                <w:ilvl w:val="1"/>
                <w:numId w:val="6"/>
              </w:numPr>
              <w:spacing w:after="5"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poată realiza ocluzograma și șlefuirea selectivă; </w:t>
            </w:r>
          </w:p>
          <w:p w:rsidR="00950153" w:rsidRPr="00950153" w:rsidRDefault="00950153" w:rsidP="00950153">
            <w:pPr>
              <w:numPr>
                <w:ilvl w:val="1"/>
                <w:numId w:val="6"/>
              </w:numPr>
              <w:spacing w:after="5"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posede abilități de șinare provizorie și de durată a dinților parodontopați; </w:t>
            </w:r>
          </w:p>
          <w:p w:rsidR="00950153" w:rsidRPr="00950153" w:rsidRDefault="00950153" w:rsidP="00950153">
            <w:pPr>
              <w:numPr>
                <w:ilvl w:val="1"/>
                <w:numId w:val="6"/>
              </w:numPr>
              <w:spacing w:after="5"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poată efectua chiuretajul pe câmp închis; </w:t>
            </w:r>
          </w:p>
          <w:p w:rsidR="00950153" w:rsidRPr="00950153" w:rsidRDefault="00950153" w:rsidP="00950153">
            <w:pPr>
              <w:numPr>
                <w:ilvl w:val="1"/>
                <w:numId w:val="6"/>
              </w:numPr>
              <w:spacing w:after="5"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poată efectua etapele gingivectomiei/gingivoplastiei; </w:t>
            </w:r>
          </w:p>
          <w:p w:rsidR="00950153" w:rsidRPr="00950153" w:rsidRDefault="00950153" w:rsidP="00950153">
            <w:pPr>
              <w:numPr>
                <w:ilvl w:val="1"/>
                <w:numId w:val="6"/>
              </w:numPr>
              <w:spacing w:after="30"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posede abilități de îngrijire a plăgii postoperatorie în chirurgia parodontală (remedii medicamentoase de uz local și pe cale generală, recomandări pacientului); </w:t>
            </w:r>
          </w:p>
          <w:p w:rsidR="00950153" w:rsidRPr="00950153" w:rsidRDefault="00950153" w:rsidP="00950153">
            <w:pPr>
              <w:numPr>
                <w:ilvl w:val="1"/>
                <w:numId w:val="6"/>
              </w:numPr>
              <w:spacing w:after="34" w:line="269" w:lineRule="auto"/>
              <w:ind w:right="5" w:hanging="283"/>
              <w:jc w:val="both"/>
              <w:rPr>
                <w:rFonts w:ascii="Times New Roman" w:eastAsia="Times New Roman" w:hAnsi="Times New Roman" w:cs="Times New Roman"/>
                <w:color w:val="000000"/>
                <w:sz w:val="24"/>
              </w:rPr>
            </w:pPr>
            <w:proofErr w:type="gramStart"/>
            <w:r w:rsidRPr="00950153">
              <w:rPr>
                <w:rFonts w:ascii="Times New Roman" w:eastAsia="Times New Roman" w:hAnsi="Times New Roman" w:cs="Times New Roman"/>
                <w:color w:val="000000"/>
                <w:sz w:val="24"/>
              </w:rPr>
              <w:t>să</w:t>
            </w:r>
            <w:proofErr w:type="gramEnd"/>
            <w:r w:rsidRPr="00950153">
              <w:rPr>
                <w:rFonts w:ascii="Times New Roman" w:eastAsia="Times New Roman" w:hAnsi="Times New Roman" w:cs="Times New Roman"/>
                <w:color w:val="000000"/>
                <w:sz w:val="24"/>
              </w:rPr>
              <w:t xml:space="preserve"> interpreteze reglementările privind drepturile pacientului (Legea cu privire la drepturile și responsabilitățile pacientului nr. 263 din 27.10.2005); garantarea drepturilor pacientului și principiile de bază în realizarea drepturilor lui (Legea ocrotirii sănătății nr. 411 din 28.03.1995). Carta Europeană pentru Drepturile Fundamentale ale Pacientului. </w:t>
            </w:r>
          </w:p>
          <w:p w:rsidR="00950153" w:rsidRPr="00950153" w:rsidRDefault="00950153" w:rsidP="00950153">
            <w:pPr>
              <w:numPr>
                <w:ilvl w:val="1"/>
                <w:numId w:val="6"/>
              </w:numPr>
              <w:spacing w:after="5"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determine problemele ce apar înainte și îului medical stomatologic specializat; </w:t>
            </w:r>
          </w:p>
          <w:p w:rsidR="00950153" w:rsidRPr="00950153" w:rsidRDefault="00950153" w:rsidP="00950153">
            <w:pPr>
              <w:tabs>
                <w:tab w:val="num" w:pos="567"/>
              </w:tabs>
              <w:spacing w:after="0" w:line="240" w:lineRule="auto"/>
              <w:jc w:val="both"/>
              <w:rPr>
                <w:rFonts w:ascii="Calibri" w:eastAsia="Calibri" w:hAnsi="Calibri" w:cs="Times New Roman"/>
              </w:rPr>
            </w:pPr>
          </w:p>
          <w:p w:rsidR="00950153" w:rsidRPr="00950153" w:rsidRDefault="00950153" w:rsidP="00950153">
            <w:pPr>
              <w:spacing w:after="0" w:line="240" w:lineRule="auto"/>
              <w:jc w:val="both"/>
              <w:rPr>
                <w:rFonts w:ascii="Times New Roman" w:eastAsia="Calibri" w:hAnsi="Times New Roman" w:cs="Times New Roman"/>
                <w:color w:val="000000"/>
                <w:sz w:val="23"/>
                <w:szCs w:val="23"/>
                <w:lang w:val="ro-RO"/>
              </w:rPr>
            </w:pPr>
          </w:p>
        </w:tc>
      </w:tr>
      <w:tr w:rsidR="00950153" w:rsidRPr="00950153" w:rsidTr="00950153">
        <w:trPr>
          <w:jc w:val="center"/>
        </w:trPr>
        <w:tc>
          <w:tcPr>
            <w:tcW w:w="2482" w:type="dxa"/>
            <w:tcBorders>
              <w:top w:val="single" w:sz="4" w:space="0" w:color="auto"/>
              <w:left w:val="single" w:sz="4" w:space="0" w:color="auto"/>
              <w:bottom w:val="single" w:sz="4" w:space="0" w:color="auto"/>
              <w:right w:val="single" w:sz="4" w:space="0" w:color="auto"/>
            </w:tcBorders>
            <w:shd w:val="clear" w:color="auto" w:fill="DEEAF6"/>
            <w:hideMark/>
          </w:tcPr>
          <w:p w:rsidR="00950153" w:rsidRPr="00950153" w:rsidRDefault="00950153" w:rsidP="00950153">
            <w:pPr>
              <w:spacing w:after="0" w:line="240" w:lineRule="auto"/>
              <w:rPr>
                <w:rFonts w:ascii="Times New Roman" w:eastAsia="Calibri" w:hAnsi="Times New Roman" w:cs="Times New Roman"/>
                <w:sz w:val="24"/>
                <w:szCs w:val="24"/>
                <w:lang w:val="ro-RO"/>
              </w:rPr>
            </w:pPr>
            <w:r w:rsidRPr="00950153">
              <w:rPr>
                <w:rFonts w:ascii="Times New Roman" w:eastAsia="Calibri" w:hAnsi="Times New Roman" w:cs="Times New Roman"/>
                <w:sz w:val="24"/>
                <w:szCs w:val="24"/>
                <w:lang w:val="ro-RO"/>
              </w:rPr>
              <w:lastRenderedPageBreak/>
              <w:t>Finalități de studiu</w:t>
            </w:r>
          </w:p>
        </w:tc>
        <w:tc>
          <w:tcPr>
            <w:tcW w:w="8505" w:type="dxa"/>
            <w:gridSpan w:val="4"/>
            <w:tcBorders>
              <w:top w:val="single" w:sz="4" w:space="0" w:color="auto"/>
              <w:left w:val="single" w:sz="4" w:space="0" w:color="auto"/>
              <w:bottom w:val="single" w:sz="4" w:space="0" w:color="auto"/>
              <w:right w:val="single" w:sz="4" w:space="0" w:color="auto"/>
            </w:tcBorders>
          </w:tcPr>
          <w:p w:rsidR="00950153" w:rsidRPr="00950153" w:rsidRDefault="00950153" w:rsidP="00950153">
            <w:pPr>
              <w:spacing w:after="5" w:line="269" w:lineRule="auto"/>
              <w:ind w:left="585" w:right="5"/>
              <w:jc w:val="both"/>
              <w:rPr>
                <w:rFonts w:ascii="Times New Roman" w:eastAsia="Times New Roman" w:hAnsi="Times New Roman" w:cs="Times New Roman"/>
                <w:color w:val="000000"/>
                <w:sz w:val="24"/>
              </w:rPr>
            </w:pPr>
          </w:p>
          <w:p w:rsidR="00950153" w:rsidRPr="00950153" w:rsidRDefault="00950153" w:rsidP="00950153">
            <w:pPr>
              <w:spacing w:after="0" w:line="240" w:lineRule="auto"/>
              <w:ind w:right="157"/>
              <w:jc w:val="both"/>
              <w:rPr>
                <w:rFonts w:ascii="Times New Roman" w:eastAsia="Calibri" w:hAnsi="Times New Roman" w:cs="Times New Roman"/>
                <w:color w:val="000000"/>
                <w:sz w:val="23"/>
                <w:szCs w:val="23"/>
              </w:rPr>
            </w:pPr>
            <w:r>
              <w:rPr>
                <w:rFonts w:ascii="Times New Roman" w:eastAsia="Calibri" w:hAnsi="Times New Roman" w:cs="Times New Roman"/>
                <w:b/>
                <w:color w:val="000000"/>
                <w:sz w:val="23"/>
                <w:szCs w:val="23"/>
              </w:rPr>
              <w:t xml:space="preserve">   </w:t>
            </w:r>
            <w:r w:rsidRPr="00950153">
              <w:rPr>
                <w:rFonts w:ascii="Times New Roman" w:eastAsia="Calibri" w:hAnsi="Times New Roman" w:cs="Times New Roman"/>
                <w:color w:val="000000"/>
                <w:sz w:val="23"/>
                <w:szCs w:val="23"/>
              </w:rPr>
              <w:t xml:space="preserve">Cunoașterea bazelor teoretice de anatomie și fiziologie a parodonțiului marginal superficial și profund de susținere, a principiilor generale în examinarea pacienților, analiza și interpretarea datelor clinice și paraclinice; cunoașterea cadrului legislativ și normativ în domeniu, asepsie și antisepsie în cadrul cabinetului de parodontologie, cunoașterea drepturilor și obligațiilor medicului de profil. </w:t>
            </w:r>
            <w:r w:rsidRPr="00950153">
              <w:rPr>
                <w:rFonts w:ascii="Times New Roman" w:eastAsia="Calibri" w:hAnsi="Times New Roman" w:cs="Times New Roman"/>
                <w:b/>
                <w:color w:val="000000"/>
                <w:sz w:val="23"/>
                <w:szCs w:val="23"/>
              </w:rPr>
              <w:t xml:space="preserve">CP2: </w:t>
            </w:r>
            <w:r w:rsidRPr="00950153">
              <w:rPr>
                <w:rFonts w:ascii="Times New Roman" w:eastAsia="Calibri" w:hAnsi="Times New Roman" w:cs="Times New Roman"/>
                <w:color w:val="000000"/>
                <w:sz w:val="23"/>
                <w:szCs w:val="23"/>
              </w:rPr>
              <w:t>Cunoașterea și simularea examenului clinic și paraclinic al pacienților cu boala parodontală (aprecierea indicilor parodontali, a statusului parodontal); evaluarea datelor examinărilor paraclinice.</w:t>
            </w:r>
            <w:r w:rsidRPr="00950153">
              <w:rPr>
                <w:rFonts w:ascii="Times New Roman" w:eastAsia="Calibri" w:hAnsi="Times New Roman" w:cs="Times New Roman"/>
                <w:b/>
                <w:color w:val="000000"/>
                <w:sz w:val="23"/>
                <w:szCs w:val="23"/>
              </w:rPr>
              <w:t xml:space="preserve"> </w:t>
            </w:r>
          </w:p>
          <w:p w:rsidR="00950153" w:rsidRPr="00950153" w:rsidRDefault="00950153" w:rsidP="00950153">
            <w:pPr>
              <w:spacing w:after="0" w:line="240" w:lineRule="auto"/>
              <w:ind w:right="157"/>
              <w:jc w:val="both"/>
              <w:rPr>
                <w:rFonts w:ascii="Times New Roman" w:eastAsia="Calibri" w:hAnsi="Times New Roman" w:cs="Times New Roman"/>
                <w:color w:val="000000"/>
                <w:sz w:val="23"/>
                <w:szCs w:val="23"/>
              </w:rPr>
            </w:pPr>
            <w:r>
              <w:rPr>
                <w:rFonts w:ascii="Times New Roman" w:eastAsia="Calibri" w:hAnsi="Times New Roman" w:cs="Times New Roman"/>
                <w:b/>
                <w:color w:val="000000"/>
                <w:sz w:val="23"/>
                <w:szCs w:val="23"/>
              </w:rPr>
              <w:t xml:space="preserve">   </w:t>
            </w:r>
            <w:r w:rsidRPr="00950153">
              <w:rPr>
                <w:rFonts w:ascii="Times New Roman" w:eastAsia="Calibri" w:hAnsi="Times New Roman" w:cs="Times New Roman"/>
                <w:color w:val="000000"/>
                <w:sz w:val="23"/>
                <w:szCs w:val="23"/>
              </w:rPr>
              <w:t>Completarea fișelor medicale ale pacienților cu boala parodontală</w:t>
            </w:r>
            <w:proofErr w:type="gramStart"/>
            <w:r w:rsidRPr="00950153">
              <w:rPr>
                <w:rFonts w:ascii="Times New Roman" w:eastAsia="Calibri" w:hAnsi="Times New Roman" w:cs="Times New Roman"/>
                <w:color w:val="000000"/>
                <w:sz w:val="23"/>
                <w:szCs w:val="23"/>
              </w:rPr>
              <w:t>,efectuarea</w:t>
            </w:r>
            <w:proofErr w:type="gramEnd"/>
            <w:r w:rsidRPr="00950153">
              <w:rPr>
                <w:rFonts w:ascii="Times New Roman" w:eastAsia="Calibri" w:hAnsi="Times New Roman" w:cs="Times New Roman"/>
                <w:color w:val="000000"/>
                <w:sz w:val="23"/>
                <w:szCs w:val="23"/>
              </w:rPr>
              <w:t xml:space="preserve"> examenului clinic și elaborarea indicațiilor către tipul examenului paraclinic cu argumentarea acestora. Stabilirea diagnosticului și a planului de tratament. Elaborarea algoritmului de colectare a datelor și lucru cu pacienții în cadrul cabinetului de parodontologie. </w:t>
            </w:r>
          </w:p>
          <w:p w:rsidR="00950153" w:rsidRPr="00950153" w:rsidRDefault="00950153" w:rsidP="00950153">
            <w:pPr>
              <w:spacing w:after="0" w:line="240" w:lineRule="auto"/>
              <w:ind w:right="157"/>
              <w:jc w:val="both"/>
              <w:rPr>
                <w:rFonts w:ascii="Times New Roman" w:eastAsia="Calibri" w:hAnsi="Times New Roman" w:cs="Times New Roman"/>
                <w:color w:val="000000"/>
                <w:sz w:val="23"/>
                <w:szCs w:val="23"/>
              </w:rPr>
            </w:pPr>
            <w:r>
              <w:rPr>
                <w:rFonts w:ascii="Times New Roman" w:eastAsia="Calibri" w:hAnsi="Times New Roman" w:cs="Times New Roman"/>
                <w:b/>
                <w:color w:val="000000"/>
                <w:sz w:val="23"/>
                <w:szCs w:val="23"/>
              </w:rPr>
              <w:t xml:space="preserve">   </w:t>
            </w:r>
            <w:r w:rsidRPr="00950153">
              <w:rPr>
                <w:rFonts w:ascii="Times New Roman" w:eastAsia="Calibri" w:hAnsi="Times New Roman" w:cs="Times New Roman"/>
                <w:color w:val="000000"/>
                <w:sz w:val="23"/>
                <w:szCs w:val="23"/>
              </w:rPr>
              <w:t xml:space="preserve">Analiza datelor investigațiilor paraclinice de laborator (bacteriologice, clinice și biochimice) indicate și descrierea acestora. Analiza clișeelor radiologice (OPG, RVG), evaluarea și descrierea formațiunilor anatomice în baza tomografiilor computerizate cu fascicol conic. </w:t>
            </w:r>
          </w:p>
          <w:p w:rsidR="00950153" w:rsidRPr="00950153" w:rsidRDefault="00950153" w:rsidP="00950153">
            <w:pPr>
              <w:spacing w:after="0" w:line="240" w:lineRule="auto"/>
              <w:ind w:right="157"/>
              <w:jc w:val="both"/>
              <w:rPr>
                <w:rFonts w:ascii="Times New Roman" w:eastAsia="Calibri" w:hAnsi="Times New Roman" w:cs="Times New Roman"/>
                <w:color w:val="000000"/>
                <w:sz w:val="23"/>
                <w:szCs w:val="23"/>
              </w:rPr>
            </w:pPr>
            <w:r>
              <w:rPr>
                <w:rFonts w:ascii="Times New Roman" w:eastAsia="Calibri" w:hAnsi="Times New Roman" w:cs="Times New Roman"/>
                <w:b/>
                <w:color w:val="000000"/>
                <w:sz w:val="23"/>
                <w:szCs w:val="23"/>
              </w:rPr>
              <w:t xml:space="preserve">   </w:t>
            </w:r>
            <w:r w:rsidRPr="00950153">
              <w:rPr>
                <w:rFonts w:ascii="Times New Roman" w:eastAsia="Calibri" w:hAnsi="Times New Roman" w:cs="Times New Roman"/>
                <w:color w:val="000000"/>
                <w:sz w:val="23"/>
                <w:szCs w:val="23"/>
              </w:rPr>
              <w:t>Descrierea noțiunii și tipurilor de profilaxie, precum și a nivelurilor de aplicare ale acestora (individuale, de grup</w:t>
            </w:r>
            <w:proofErr w:type="gramStart"/>
            <w:r w:rsidRPr="00950153">
              <w:rPr>
                <w:rFonts w:ascii="Times New Roman" w:eastAsia="Calibri" w:hAnsi="Times New Roman" w:cs="Times New Roman"/>
                <w:color w:val="000000"/>
                <w:sz w:val="23"/>
                <w:szCs w:val="23"/>
              </w:rPr>
              <w:t>,societate</w:t>
            </w:r>
            <w:proofErr w:type="gramEnd"/>
            <w:r w:rsidRPr="00950153">
              <w:rPr>
                <w:rFonts w:ascii="Times New Roman" w:eastAsia="Calibri" w:hAnsi="Times New Roman" w:cs="Times New Roman"/>
                <w:color w:val="000000"/>
                <w:sz w:val="23"/>
                <w:szCs w:val="23"/>
              </w:rPr>
              <w:t xml:space="preserve">). Evaluarea metodelor de control al sterilizării materialelor și instrumentelor utilizate în tratamentul parodontal. Evaluarea evidenței de dispensarizare a pacienților cu boala parodontală.  </w:t>
            </w:r>
          </w:p>
          <w:p w:rsidR="00950153" w:rsidRPr="00950153" w:rsidRDefault="00950153" w:rsidP="00950153">
            <w:pPr>
              <w:spacing w:after="0" w:line="240" w:lineRule="auto"/>
              <w:ind w:right="157"/>
              <w:jc w:val="both"/>
              <w:rPr>
                <w:rFonts w:ascii="Times New Roman" w:eastAsia="Calibri" w:hAnsi="Times New Roman" w:cs="Times New Roman"/>
                <w:color w:val="000000"/>
                <w:sz w:val="23"/>
                <w:szCs w:val="23"/>
              </w:rPr>
            </w:pPr>
            <w:r>
              <w:rPr>
                <w:rFonts w:ascii="Times New Roman" w:eastAsia="Calibri" w:hAnsi="Times New Roman" w:cs="Times New Roman"/>
                <w:b/>
                <w:color w:val="000000"/>
                <w:sz w:val="23"/>
                <w:szCs w:val="23"/>
              </w:rPr>
              <w:t xml:space="preserve">   </w:t>
            </w:r>
            <w:r w:rsidRPr="00950153">
              <w:rPr>
                <w:rFonts w:ascii="Times New Roman" w:eastAsia="Calibri" w:hAnsi="Times New Roman" w:cs="Times New Roman"/>
                <w:color w:val="000000"/>
                <w:sz w:val="23"/>
                <w:szCs w:val="23"/>
              </w:rPr>
              <w:t xml:space="preserve">Demonstrarea și aplicarea cunoștințelor acumulate în evaluarea clinică și paraclinică a pacientului cu boala parodontală. Selectarea și argumentarea tehnicilor de comunicare, colectarea datelor și pregătirea pacientului către chirurgia parodontală (gingivectomie/gingivoplastie, chiretaj pe câmp deschis). Promovarea principiilor de toleranță și compasiune față de pacienți; cunoașterea și aplicarea dreptului la sănătate, a drepturilor fundamentale ale pacientului. </w:t>
            </w:r>
          </w:p>
          <w:p w:rsidR="00950153" w:rsidRPr="00950153" w:rsidRDefault="00950153" w:rsidP="00950153">
            <w:pPr>
              <w:spacing w:after="0" w:line="240" w:lineRule="auto"/>
              <w:ind w:right="157"/>
              <w:jc w:val="both"/>
              <w:rPr>
                <w:rFonts w:ascii="Times New Roman" w:eastAsia="Calibri" w:hAnsi="Times New Roman" w:cs="Times New Roman"/>
                <w:color w:val="000000"/>
                <w:sz w:val="23"/>
                <w:szCs w:val="23"/>
              </w:rPr>
            </w:pPr>
          </w:p>
        </w:tc>
      </w:tr>
      <w:tr w:rsidR="00950153" w:rsidRPr="00950153" w:rsidTr="00950153">
        <w:trPr>
          <w:jc w:val="center"/>
        </w:trPr>
        <w:tc>
          <w:tcPr>
            <w:tcW w:w="2482" w:type="dxa"/>
            <w:tcBorders>
              <w:top w:val="single" w:sz="4" w:space="0" w:color="auto"/>
              <w:left w:val="single" w:sz="4" w:space="0" w:color="auto"/>
              <w:bottom w:val="single" w:sz="4" w:space="0" w:color="auto"/>
              <w:right w:val="single" w:sz="4" w:space="0" w:color="auto"/>
            </w:tcBorders>
            <w:hideMark/>
          </w:tcPr>
          <w:p w:rsidR="00950153" w:rsidRPr="00950153" w:rsidRDefault="00950153" w:rsidP="00950153">
            <w:pPr>
              <w:spacing w:after="0" w:line="240" w:lineRule="auto"/>
              <w:rPr>
                <w:rFonts w:ascii="Times New Roman" w:eastAsia="Calibri" w:hAnsi="Times New Roman" w:cs="Times New Roman"/>
                <w:sz w:val="24"/>
                <w:szCs w:val="24"/>
                <w:lang w:val="ro-RO"/>
              </w:rPr>
            </w:pPr>
            <w:r w:rsidRPr="00950153">
              <w:rPr>
                <w:rFonts w:ascii="Times New Roman" w:eastAsia="Calibri" w:hAnsi="Times New Roman" w:cs="Times New Roman"/>
                <w:sz w:val="24"/>
                <w:szCs w:val="24"/>
                <w:lang w:val="ro-RO"/>
              </w:rPr>
              <w:lastRenderedPageBreak/>
              <w:t>Manopere practice achiziționate</w:t>
            </w:r>
          </w:p>
        </w:tc>
        <w:tc>
          <w:tcPr>
            <w:tcW w:w="8505" w:type="dxa"/>
            <w:gridSpan w:val="4"/>
            <w:tcBorders>
              <w:top w:val="single" w:sz="4" w:space="0" w:color="auto"/>
              <w:left w:val="single" w:sz="4" w:space="0" w:color="auto"/>
              <w:bottom w:val="single" w:sz="4" w:space="0" w:color="auto"/>
              <w:right w:val="single" w:sz="4" w:space="0" w:color="auto"/>
            </w:tcBorders>
          </w:tcPr>
          <w:p w:rsidR="00950153" w:rsidRPr="00950153" w:rsidRDefault="00950153" w:rsidP="00950153">
            <w:pPr>
              <w:numPr>
                <w:ilvl w:val="1"/>
                <w:numId w:val="6"/>
              </w:numPr>
              <w:spacing w:after="5"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aprecieze nivelul asistenții parodontologice; </w:t>
            </w:r>
          </w:p>
          <w:p w:rsidR="00950153" w:rsidRPr="00950153" w:rsidRDefault="00950153" w:rsidP="00950153">
            <w:pPr>
              <w:numPr>
                <w:ilvl w:val="1"/>
                <w:numId w:val="6"/>
              </w:numPr>
              <w:spacing w:after="5"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aprecieze tipul de colectare a datelor în funcție de pacient (dialog, anchetă, combinat) </w:t>
            </w:r>
          </w:p>
          <w:p w:rsidR="00950153" w:rsidRPr="00950153" w:rsidRDefault="00950153" w:rsidP="00950153">
            <w:pPr>
              <w:numPr>
                <w:ilvl w:val="1"/>
                <w:numId w:val="6"/>
              </w:numPr>
              <w:spacing w:after="5"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aprecieze nivelul de satisfacere a pacientului după diverse criterii; </w:t>
            </w:r>
          </w:p>
          <w:p w:rsidR="00950153" w:rsidRPr="00950153" w:rsidRDefault="00950153" w:rsidP="00950153">
            <w:pPr>
              <w:numPr>
                <w:ilvl w:val="1"/>
                <w:numId w:val="6"/>
              </w:numPr>
              <w:spacing w:after="5"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repartizeze instrumentarul necesar în dependență de scopul acestora; </w:t>
            </w:r>
          </w:p>
          <w:p w:rsidR="00950153" w:rsidRPr="00950153" w:rsidRDefault="00950153" w:rsidP="00950153">
            <w:pPr>
              <w:numPr>
                <w:ilvl w:val="1"/>
                <w:numId w:val="6"/>
              </w:numPr>
              <w:spacing w:after="5"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asigure respectarea eticii și deontologiei profesionale; </w:t>
            </w:r>
          </w:p>
          <w:p w:rsidR="00950153" w:rsidRPr="00950153" w:rsidRDefault="00950153" w:rsidP="00950153">
            <w:pPr>
              <w:numPr>
                <w:ilvl w:val="1"/>
                <w:numId w:val="6"/>
              </w:numPr>
              <w:spacing w:after="305" w:line="269" w:lineRule="auto"/>
              <w:ind w:right="5" w:hanging="283"/>
              <w:jc w:val="both"/>
              <w:rPr>
                <w:rFonts w:ascii="Times New Roman" w:eastAsia="Times New Roman" w:hAnsi="Times New Roman" w:cs="Times New Roman"/>
                <w:color w:val="000000"/>
                <w:sz w:val="24"/>
              </w:rPr>
            </w:pPr>
            <w:r w:rsidRPr="00950153">
              <w:rPr>
                <w:rFonts w:ascii="Times New Roman" w:eastAsia="Times New Roman" w:hAnsi="Times New Roman" w:cs="Times New Roman"/>
                <w:color w:val="000000"/>
                <w:sz w:val="24"/>
              </w:rPr>
              <w:t xml:space="preserve">să evidențieze problema pacientului cu aprecierea opțiunilor de examen paraclinic necesare stabilirii unui diagnostic; </w:t>
            </w:r>
            <w:r w:rsidRPr="00950153">
              <w:rPr>
                <w:rFonts w:ascii="Segoe UI Symbol" w:eastAsia="Segoe UI Symbol" w:hAnsi="Segoe UI Symbol" w:cs="Segoe UI Symbol"/>
                <w:color w:val="000000"/>
                <w:sz w:val="24"/>
              </w:rPr>
              <w:t>•</w:t>
            </w:r>
            <w:r w:rsidRPr="00950153">
              <w:rPr>
                <w:rFonts w:ascii="Arial" w:eastAsia="Arial" w:hAnsi="Arial" w:cs="Arial"/>
                <w:color w:val="000000"/>
                <w:sz w:val="24"/>
              </w:rPr>
              <w:t xml:space="preserve"> </w:t>
            </w:r>
            <w:r w:rsidRPr="00950153">
              <w:rPr>
                <w:rFonts w:ascii="Times New Roman" w:eastAsia="Times New Roman" w:hAnsi="Times New Roman" w:cs="Times New Roman"/>
                <w:color w:val="000000"/>
                <w:sz w:val="24"/>
              </w:rPr>
              <w:t xml:space="preserve">să aplice algoritmul consultării și consilierii pacientului înainte și în timpul actului medical stomatologic specializat; </w:t>
            </w:r>
          </w:p>
          <w:p w:rsidR="00950153" w:rsidRPr="00950153" w:rsidRDefault="00950153" w:rsidP="00950153">
            <w:pPr>
              <w:spacing w:after="0" w:line="240" w:lineRule="auto"/>
              <w:ind w:left="360"/>
              <w:jc w:val="both"/>
              <w:rPr>
                <w:rFonts w:ascii="Times New Roman" w:eastAsia="Calibri" w:hAnsi="Times New Roman" w:cs="Times New Roman"/>
                <w:iCs/>
                <w:color w:val="000000"/>
                <w:spacing w:val="-4"/>
                <w:sz w:val="23"/>
                <w:szCs w:val="23"/>
              </w:rPr>
            </w:pPr>
          </w:p>
        </w:tc>
      </w:tr>
      <w:tr w:rsidR="00950153" w:rsidRPr="00950153" w:rsidTr="00950153">
        <w:trPr>
          <w:jc w:val="center"/>
        </w:trPr>
        <w:tc>
          <w:tcPr>
            <w:tcW w:w="2482" w:type="dxa"/>
            <w:tcBorders>
              <w:top w:val="single" w:sz="4" w:space="0" w:color="auto"/>
              <w:left w:val="single" w:sz="4" w:space="0" w:color="auto"/>
              <w:bottom w:val="single" w:sz="4" w:space="0" w:color="auto"/>
              <w:right w:val="single" w:sz="4" w:space="0" w:color="auto"/>
            </w:tcBorders>
            <w:shd w:val="clear" w:color="auto" w:fill="DEEAF6"/>
            <w:hideMark/>
          </w:tcPr>
          <w:p w:rsidR="00950153" w:rsidRPr="00950153" w:rsidRDefault="00950153" w:rsidP="00950153">
            <w:pPr>
              <w:spacing w:after="0" w:line="240" w:lineRule="auto"/>
              <w:rPr>
                <w:rFonts w:ascii="Times New Roman" w:eastAsia="Calibri" w:hAnsi="Times New Roman" w:cs="Times New Roman"/>
                <w:sz w:val="24"/>
                <w:szCs w:val="24"/>
                <w:lang w:val="ro-RO"/>
              </w:rPr>
            </w:pPr>
            <w:r w:rsidRPr="00950153">
              <w:rPr>
                <w:rFonts w:ascii="Times New Roman" w:eastAsia="Calibri" w:hAnsi="Times New Roman" w:cs="Times New Roman"/>
                <w:sz w:val="24"/>
                <w:szCs w:val="24"/>
                <w:lang w:val="ro-RO"/>
              </w:rPr>
              <w:t>Forma de evaluare</w:t>
            </w:r>
          </w:p>
        </w:tc>
        <w:tc>
          <w:tcPr>
            <w:tcW w:w="8505" w:type="dxa"/>
            <w:gridSpan w:val="4"/>
            <w:tcBorders>
              <w:top w:val="single" w:sz="4" w:space="0" w:color="auto"/>
              <w:left w:val="single" w:sz="4" w:space="0" w:color="auto"/>
              <w:bottom w:val="single" w:sz="4" w:space="0" w:color="auto"/>
              <w:right w:val="single" w:sz="4" w:space="0" w:color="auto"/>
            </w:tcBorders>
            <w:hideMark/>
          </w:tcPr>
          <w:p w:rsidR="00950153" w:rsidRPr="00950153" w:rsidRDefault="00950153" w:rsidP="00950153">
            <w:pPr>
              <w:spacing w:after="0" w:line="240" w:lineRule="auto"/>
              <w:rPr>
                <w:rFonts w:ascii="Times New Roman" w:eastAsia="Calibri" w:hAnsi="Times New Roman" w:cs="Times New Roman"/>
                <w:sz w:val="23"/>
                <w:szCs w:val="23"/>
                <w:lang w:val="ro-RO"/>
              </w:rPr>
            </w:pPr>
            <w:r w:rsidRPr="00950153">
              <w:rPr>
                <w:rFonts w:ascii="Times New Roman" w:eastAsia="Calibri" w:hAnsi="Times New Roman" w:cs="Times New Roman"/>
                <w:sz w:val="23"/>
                <w:szCs w:val="23"/>
                <w:lang w:val="ro-RO"/>
              </w:rPr>
              <w:t>Examen</w:t>
            </w:r>
          </w:p>
        </w:tc>
      </w:tr>
    </w:tbl>
    <w:p w:rsidR="00950153" w:rsidRPr="00950153" w:rsidRDefault="00950153" w:rsidP="00950153">
      <w:pPr>
        <w:spacing w:after="0" w:line="240" w:lineRule="auto"/>
        <w:rPr>
          <w:rFonts w:ascii="Times New Roman" w:eastAsia="Calibri" w:hAnsi="Times New Roman" w:cs="Times New Roman"/>
          <w:sz w:val="2"/>
          <w:szCs w:val="2"/>
          <w:lang w:val="ro-RO"/>
        </w:rPr>
      </w:pPr>
    </w:p>
    <w:p w:rsidR="0038176D" w:rsidRDefault="0038176D"/>
    <w:sectPr w:rsidR="00381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671F9"/>
    <w:multiLevelType w:val="hybridMultilevel"/>
    <w:tmpl w:val="64CA390E"/>
    <w:lvl w:ilvl="0" w:tplc="C73254D8">
      <w:start w:val="1"/>
      <w:numFmt w:val="bullet"/>
      <w:lvlText w:val=""/>
      <w:lvlJc w:val="left"/>
      <w:pPr>
        <w:tabs>
          <w:tab w:val="num" w:pos="643"/>
        </w:tabs>
        <w:ind w:left="643" w:hanging="360"/>
      </w:pPr>
      <w:rPr>
        <w:rFonts w:ascii="Symbol" w:hAnsi="Symbol" w:hint="default"/>
        <w:sz w:val="24"/>
      </w:rPr>
    </w:lvl>
    <w:lvl w:ilvl="1" w:tplc="04090003">
      <w:start w:val="1"/>
      <w:numFmt w:val="bullet"/>
      <w:lvlText w:val="o"/>
      <w:lvlJc w:val="left"/>
      <w:pPr>
        <w:tabs>
          <w:tab w:val="num" w:pos="1363"/>
        </w:tabs>
        <w:ind w:left="1363" w:hanging="360"/>
      </w:pPr>
      <w:rPr>
        <w:rFonts w:ascii="Courier New" w:hAnsi="Courier New" w:cs="Times New Roman" w:hint="default"/>
      </w:rPr>
    </w:lvl>
    <w:lvl w:ilvl="2" w:tplc="04090005">
      <w:start w:val="1"/>
      <w:numFmt w:val="bullet"/>
      <w:lvlText w:val=""/>
      <w:lvlJc w:val="left"/>
      <w:pPr>
        <w:tabs>
          <w:tab w:val="num" w:pos="2083"/>
        </w:tabs>
        <w:ind w:left="2083" w:hanging="360"/>
      </w:pPr>
      <w:rPr>
        <w:rFonts w:ascii="Wingdings" w:hAnsi="Wingdings" w:hint="default"/>
      </w:rPr>
    </w:lvl>
    <w:lvl w:ilvl="3" w:tplc="04090001">
      <w:start w:val="1"/>
      <w:numFmt w:val="bullet"/>
      <w:lvlText w:val=""/>
      <w:lvlJc w:val="left"/>
      <w:pPr>
        <w:tabs>
          <w:tab w:val="num" w:pos="2803"/>
        </w:tabs>
        <w:ind w:left="2803" w:hanging="360"/>
      </w:pPr>
      <w:rPr>
        <w:rFonts w:ascii="Symbol" w:hAnsi="Symbol" w:hint="default"/>
      </w:rPr>
    </w:lvl>
    <w:lvl w:ilvl="4" w:tplc="04090003">
      <w:start w:val="1"/>
      <w:numFmt w:val="bullet"/>
      <w:lvlText w:val="o"/>
      <w:lvlJc w:val="left"/>
      <w:pPr>
        <w:tabs>
          <w:tab w:val="num" w:pos="3523"/>
        </w:tabs>
        <w:ind w:left="3523" w:hanging="360"/>
      </w:pPr>
      <w:rPr>
        <w:rFonts w:ascii="Courier New" w:hAnsi="Courier New" w:cs="Times New Roman" w:hint="default"/>
      </w:rPr>
    </w:lvl>
    <w:lvl w:ilvl="5" w:tplc="04090005">
      <w:start w:val="1"/>
      <w:numFmt w:val="bullet"/>
      <w:lvlText w:val=""/>
      <w:lvlJc w:val="left"/>
      <w:pPr>
        <w:tabs>
          <w:tab w:val="num" w:pos="4243"/>
        </w:tabs>
        <w:ind w:left="4243" w:hanging="360"/>
      </w:pPr>
      <w:rPr>
        <w:rFonts w:ascii="Wingdings" w:hAnsi="Wingdings" w:hint="default"/>
      </w:rPr>
    </w:lvl>
    <w:lvl w:ilvl="6" w:tplc="04090001">
      <w:start w:val="1"/>
      <w:numFmt w:val="bullet"/>
      <w:lvlText w:val=""/>
      <w:lvlJc w:val="left"/>
      <w:pPr>
        <w:tabs>
          <w:tab w:val="num" w:pos="4963"/>
        </w:tabs>
        <w:ind w:left="4963" w:hanging="360"/>
      </w:pPr>
      <w:rPr>
        <w:rFonts w:ascii="Symbol" w:hAnsi="Symbol" w:hint="default"/>
      </w:rPr>
    </w:lvl>
    <w:lvl w:ilvl="7" w:tplc="04090003">
      <w:start w:val="1"/>
      <w:numFmt w:val="bullet"/>
      <w:lvlText w:val="o"/>
      <w:lvlJc w:val="left"/>
      <w:pPr>
        <w:tabs>
          <w:tab w:val="num" w:pos="5683"/>
        </w:tabs>
        <w:ind w:left="5683" w:hanging="360"/>
      </w:pPr>
      <w:rPr>
        <w:rFonts w:ascii="Courier New" w:hAnsi="Courier New" w:cs="Times New Roman" w:hint="default"/>
      </w:rPr>
    </w:lvl>
    <w:lvl w:ilvl="8" w:tplc="04090005">
      <w:start w:val="1"/>
      <w:numFmt w:val="bullet"/>
      <w:lvlText w:val=""/>
      <w:lvlJc w:val="left"/>
      <w:pPr>
        <w:tabs>
          <w:tab w:val="num" w:pos="6403"/>
        </w:tabs>
        <w:ind w:left="6403" w:hanging="360"/>
      </w:pPr>
      <w:rPr>
        <w:rFonts w:ascii="Wingdings" w:hAnsi="Wingdings" w:hint="default"/>
      </w:rPr>
    </w:lvl>
  </w:abstractNum>
  <w:abstractNum w:abstractNumId="1" w15:restartNumberingAfterBreak="0">
    <w:nsid w:val="27F47F54"/>
    <w:multiLevelType w:val="hybridMultilevel"/>
    <w:tmpl w:val="6DACC32A"/>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48411756"/>
    <w:multiLevelType w:val="hybridMultilevel"/>
    <w:tmpl w:val="D38C46C6"/>
    <w:lvl w:ilvl="0" w:tplc="9E56E5A8">
      <w:start w:val="1"/>
      <w:numFmt w:val="bullet"/>
      <w:lvlText w:val="•"/>
      <w:lvlJc w:val="left"/>
      <w:pPr>
        <w:tabs>
          <w:tab w:val="num" w:pos="720"/>
        </w:tabs>
        <w:ind w:left="720" w:hanging="360"/>
      </w:pPr>
      <w:rPr>
        <w:rFonts w:ascii="Arial" w:hAnsi="Arial" w:cs="Times New Roman" w:hint="default"/>
      </w:rPr>
    </w:lvl>
    <w:lvl w:ilvl="1" w:tplc="F6B89AD0">
      <w:start w:val="1"/>
      <w:numFmt w:val="bullet"/>
      <w:lvlText w:val="•"/>
      <w:lvlJc w:val="left"/>
      <w:pPr>
        <w:tabs>
          <w:tab w:val="num" w:pos="1440"/>
        </w:tabs>
        <w:ind w:left="1440" w:hanging="360"/>
      </w:pPr>
      <w:rPr>
        <w:rFonts w:ascii="Arial" w:hAnsi="Arial" w:cs="Times New Roman" w:hint="default"/>
      </w:rPr>
    </w:lvl>
    <w:lvl w:ilvl="2" w:tplc="A3F0B66E">
      <w:start w:val="1"/>
      <w:numFmt w:val="bullet"/>
      <w:lvlText w:val="•"/>
      <w:lvlJc w:val="left"/>
      <w:pPr>
        <w:tabs>
          <w:tab w:val="num" w:pos="2160"/>
        </w:tabs>
        <w:ind w:left="2160" w:hanging="360"/>
      </w:pPr>
      <w:rPr>
        <w:rFonts w:ascii="Arial" w:hAnsi="Arial" w:cs="Times New Roman" w:hint="default"/>
      </w:rPr>
    </w:lvl>
    <w:lvl w:ilvl="3" w:tplc="294A8796">
      <w:start w:val="1"/>
      <w:numFmt w:val="bullet"/>
      <w:lvlText w:val="•"/>
      <w:lvlJc w:val="left"/>
      <w:pPr>
        <w:tabs>
          <w:tab w:val="num" w:pos="2880"/>
        </w:tabs>
        <w:ind w:left="2880" w:hanging="360"/>
      </w:pPr>
      <w:rPr>
        <w:rFonts w:ascii="Arial" w:hAnsi="Arial" w:cs="Times New Roman" w:hint="default"/>
      </w:rPr>
    </w:lvl>
    <w:lvl w:ilvl="4" w:tplc="FC62FBC2">
      <w:start w:val="1"/>
      <w:numFmt w:val="bullet"/>
      <w:lvlText w:val="•"/>
      <w:lvlJc w:val="left"/>
      <w:pPr>
        <w:tabs>
          <w:tab w:val="num" w:pos="3600"/>
        </w:tabs>
        <w:ind w:left="3600" w:hanging="360"/>
      </w:pPr>
      <w:rPr>
        <w:rFonts w:ascii="Arial" w:hAnsi="Arial" w:cs="Times New Roman" w:hint="default"/>
      </w:rPr>
    </w:lvl>
    <w:lvl w:ilvl="5" w:tplc="DD744B5E">
      <w:start w:val="1"/>
      <w:numFmt w:val="bullet"/>
      <w:lvlText w:val="•"/>
      <w:lvlJc w:val="left"/>
      <w:pPr>
        <w:tabs>
          <w:tab w:val="num" w:pos="4320"/>
        </w:tabs>
        <w:ind w:left="4320" w:hanging="360"/>
      </w:pPr>
      <w:rPr>
        <w:rFonts w:ascii="Arial" w:hAnsi="Arial" w:cs="Times New Roman" w:hint="default"/>
      </w:rPr>
    </w:lvl>
    <w:lvl w:ilvl="6" w:tplc="EAE6FF84">
      <w:start w:val="1"/>
      <w:numFmt w:val="bullet"/>
      <w:lvlText w:val="•"/>
      <w:lvlJc w:val="left"/>
      <w:pPr>
        <w:tabs>
          <w:tab w:val="num" w:pos="5040"/>
        </w:tabs>
        <w:ind w:left="5040" w:hanging="360"/>
      </w:pPr>
      <w:rPr>
        <w:rFonts w:ascii="Arial" w:hAnsi="Arial" w:cs="Times New Roman" w:hint="default"/>
      </w:rPr>
    </w:lvl>
    <w:lvl w:ilvl="7" w:tplc="10BA13DE">
      <w:start w:val="1"/>
      <w:numFmt w:val="bullet"/>
      <w:lvlText w:val="•"/>
      <w:lvlJc w:val="left"/>
      <w:pPr>
        <w:tabs>
          <w:tab w:val="num" w:pos="5760"/>
        </w:tabs>
        <w:ind w:left="5760" w:hanging="360"/>
      </w:pPr>
      <w:rPr>
        <w:rFonts w:ascii="Arial" w:hAnsi="Arial" w:cs="Times New Roman" w:hint="default"/>
      </w:rPr>
    </w:lvl>
    <w:lvl w:ilvl="8" w:tplc="973656BC">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4CF80A29"/>
    <w:multiLevelType w:val="hybridMultilevel"/>
    <w:tmpl w:val="CBA0748E"/>
    <w:lvl w:ilvl="0" w:tplc="DB76E548">
      <w:start w:val="1"/>
      <w:numFmt w:val="bullet"/>
      <w:lvlText w:val="✓"/>
      <w:lvlJc w:val="left"/>
      <w:pPr>
        <w:ind w:left="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A6614CC">
      <w:start w:val="1"/>
      <w:numFmt w:val="bullet"/>
      <w:lvlText w:val="•"/>
      <w:lvlJc w:val="left"/>
      <w:pPr>
        <w:ind w:left="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32426C">
      <w:start w:val="1"/>
      <w:numFmt w:val="bullet"/>
      <w:lvlText w:val="▪"/>
      <w:lvlJc w:val="left"/>
      <w:pPr>
        <w:ind w:left="1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3EE0A6">
      <w:start w:val="1"/>
      <w:numFmt w:val="bullet"/>
      <w:lvlText w:val="•"/>
      <w:lvlJc w:val="left"/>
      <w:pPr>
        <w:ind w:left="2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D0A0DC">
      <w:start w:val="1"/>
      <w:numFmt w:val="bullet"/>
      <w:lvlText w:val="o"/>
      <w:lvlJc w:val="left"/>
      <w:pPr>
        <w:ind w:left="27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E01032">
      <w:start w:val="1"/>
      <w:numFmt w:val="bullet"/>
      <w:lvlText w:val="▪"/>
      <w:lvlJc w:val="left"/>
      <w:pPr>
        <w:ind w:left="3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2A0784">
      <w:start w:val="1"/>
      <w:numFmt w:val="bullet"/>
      <w:lvlText w:val="•"/>
      <w:lvlJc w:val="left"/>
      <w:pPr>
        <w:ind w:left="4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22DFD8">
      <w:start w:val="1"/>
      <w:numFmt w:val="bullet"/>
      <w:lvlText w:val="o"/>
      <w:lvlJc w:val="left"/>
      <w:pPr>
        <w:ind w:left="49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200452">
      <w:start w:val="1"/>
      <w:numFmt w:val="bullet"/>
      <w:lvlText w:val="▪"/>
      <w:lvlJc w:val="left"/>
      <w:pPr>
        <w:ind w:left="5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00574D"/>
    <w:multiLevelType w:val="hybridMultilevel"/>
    <w:tmpl w:val="ED046BDA"/>
    <w:lvl w:ilvl="0" w:tplc="85323C56">
      <w:start w:val="1"/>
      <w:numFmt w:val="bullet"/>
      <w:lvlText w:val="•"/>
      <w:lvlJc w:val="left"/>
      <w:pPr>
        <w:ind w:left="720" w:hanging="360"/>
      </w:pPr>
      <w:rPr>
        <w:rFonts w:ascii="Arial" w:hAnsi="Aria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52320584"/>
    <w:multiLevelType w:val="hybridMultilevel"/>
    <w:tmpl w:val="961A01F6"/>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7B"/>
    <w:rsid w:val="0038176D"/>
    <w:rsid w:val="007F2965"/>
    <w:rsid w:val="00950153"/>
    <w:rsid w:val="00C11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E4C87-F7E7-4D17-8F95-BAB3353E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73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1770</Words>
  <Characters>10090</Characters>
  <Application>Microsoft Office Word</Application>
  <DocSecurity>0</DocSecurity>
  <Lines>84</Lines>
  <Paragraphs>23</Paragraphs>
  <ScaleCrop>false</ScaleCrop>
  <Company/>
  <LinksUpToDate>false</LinksUpToDate>
  <CharactersWithSpaces>11837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2025-03-12T07:27:00Z</dcterms:created>
  <dcterms:modified xsi:type="dcterms:W3CDTF">2025-03-12T09:28:00Z</dcterms:modified>
</cp:coreProperties>
</file>